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25" w:rsidRPr="00C36A77" w:rsidRDefault="00A02B25" w:rsidP="00A02B25">
      <w:pPr>
        <w:jc w:val="center"/>
        <w:rPr>
          <w:b/>
          <w:sz w:val="40"/>
          <w:szCs w:val="40"/>
          <w:lang w:val="ru-RU"/>
        </w:rPr>
      </w:pPr>
      <w:r w:rsidRPr="00C36A77">
        <w:rPr>
          <w:b/>
          <w:sz w:val="40"/>
          <w:szCs w:val="40"/>
          <w:lang w:val="ru-RU"/>
        </w:rPr>
        <w:t>Република Србија</w:t>
      </w:r>
    </w:p>
    <w:p w:rsidR="00A02B25" w:rsidRPr="00C36A77" w:rsidRDefault="00A02B25" w:rsidP="00A02B25">
      <w:pPr>
        <w:jc w:val="center"/>
        <w:rPr>
          <w:b/>
          <w:sz w:val="40"/>
          <w:szCs w:val="40"/>
          <w:lang w:val="ru-RU"/>
        </w:rPr>
      </w:pPr>
      <w:r w:rsidRPr="00C36A77">
        <w:rPr>
          <w:b/>
          <w:sz w:val="40"/>
          <w:szCs w:val="40"/>
          <w:lang w:val="ru-RU"/>
        </w:rPr>
        <w:t>Општина Мерошина</w:t>
      </w:r>
    </w:p>
    <w:p w:rsidR="00A02B25" w:rsidRPr="00C36A77" w:rsidRDefault="00A02B25" w:rsidP="00A02B25">
      <w:pPr>
        <w:jc w:val="center"/>
        <w:rPr>
          <w:b/>
          <w:sz w:val="40"/>
          <w:szCs w:val="40"/>
          <w:lang w:val="ru-RU"/>
        </w:rPr>
      </w:pPr>
    </w:p>
    <w:p w:rsidR="00A02B25" w:rsidRPr="00C36A77" w:rsidRDefault="00A02B25" w:rsidP="00A02B25">
      <w:pPr>
        <w:jc w:val="center"/>
        <w:rPr>
          <w:b/>
          <w:sz w:val="40"/>
          <w:szCs w:val="40"/>
          <w:lang w:val="ru-RU"/>
        </w:rPr>
      </w:pPr>
    </w:p>
    <w:p w:rsidR="00A02B25" w:rsidRPr="00C36A77" w:rsidRDefault="00A02B25" w:rsidP="00A02B25">
      <w:pPr>
        <w:jc w:val="center"/>
        <w:rPr>
          <w:b/>
          <w:sz w:val="40"/>
          <w:szCs w:val="40"/>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sz w:val="72"/>
          <w:szCs w:val="72"/>
          <w:lang w:val="ru-RU"/>
        </w:rPr>
      </w:pPr>
    </w:p>
    <w:p w:rsidR="00A02B25" w:rsidRPr="00C36A77" w:rsidRDefault="00A02B25" w:rsidP="00A02B25">
      <w:pPr>
        <w:jc w:val="center"/>
        <w:rPr>
          <w:b/>
          <w:sz w:val="72"/>
          <w:szCs w:val="72"/>
          <w:lang w:val="ru-RU"/>
        </w:rPr>
      </w:pPr>
      <w:r w:rsidRPr="00C36A77">
        <w:rPr>
          <w:b/>
          <w:sz w:val="72"/>
          <w:szCs w:val="72"/>
          <w:lang w:val="ru-RU"/>
        </w:rPr>
        <w:t>УПУТСТВО</w:t>
      </w:r>
    </w:p>
    <w:p w:rsidR="00A02B25" w:rsidRPr="00C36A77" w:rsidRDefault="00A02B25" w:rsidP="00A02B25">
      <w:pPr>
        <w:jc w:val="center"/>
        <w:rPr>
          <w:b/>
          <w:sz w:val="72"/>
          <w:szCs w:val="72"/>
          <w:lang w:val="ru-RU"/>
        </w:rPr>
      </w:pPr>
    </w:p>
    <w:p w:rsidR="00A02B25" w:rsidRPr="00C36A77" w:rsidRDefault="00A02B25" w:rsidP="00A02B25">
      <w:pPr>
        <w:jc w:val="center"/>
        <w:rPr>
          <w:b/>
          <w:sz w:val="40"/>
          <w:szCs w:val="40"/>
          <w:lang w:val="ru-RU"/>
        </w:rPr>
      </w:pPr>
      <w:r w:rsidRPr="00C36A77">
        <w:rPr>
          <w:b/>
          <w:sz w:val="40"/>
          <w:szCs w:val="40"/>
          <w:lang w:val="ru-RU"/>
        </w:rPr>
        <w:t xml:space="preserve">ЗА ПРИПРЕМУ БУЏЕТА ОПШТИНЕ </w:t>
      </w:r>
    </w:p>
    <w:p w:rsidR="00A02B25" w:rsidRPr="00C36A77" w:rsidRDefault="00A02B25" w:rsidP="00A02B25">
      <w:pPr>
        <w:jc w:val="center"/>
        <w:rPr>
          <w:b/>
          <w:sz w:val="40"/>
          <w:szCs w:val="40"/>
          <w:lang w:val="ru-RU"/>
        </w:rPr>
      </w:pPr>
      <w:r w:rsidRPr="00C36A77">
        <w:rPr>
          <w:b/>
          <w:sz w:val="40"/>
          <w:szCs w:val="40"/>
          <w:lang w:val="ru-RU"/>
        </w:rPr>
        <w:t>МЕРОШИНА ЗА 201</w:t>
      </w:r>
      <w:r w:rsidR="00F8389A">
        <w:rPr>
          <w:b/>
          <w:sz w:val="40"/>
          <w:szCs w:val="40"/>
          <w:lang w:val="en-US"/>
        </w:rPr>
        <w:t>8</w:t>
      </w:r>
      <w:r w:rsidRPr="00C36A77">
        <w:rPr>
          <w:b/>
          <w:sz w:val="40"/>
          <w:szCs w:val="40"/>
          <w:lang w:val="ru-RU"/>
        </w:rPr>
        <w:t>.ГОДИНУ</w:t>
      </w:r>
    </w:p>
    <w:p w:rsidR="00A02B25" w:rsidRPr="00C36A77" w:rsidRDefault="00A02B25" w:rsidP="00A02B25">
      <w:pPr>
        <w:jc w:val="center"/>
        <w:rPr>
          <w:b/>
          <w:sz w:val="40"/>
          <w:szCs w:val="40"/>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lang w:val="ru-RU"/>
        </w:rPr>
      </w:pPr>
    </w:p>
    <w:p w:rsidR="00A02B25" w:rsidRPr="00C36A77" w:rsidRDefault="00A02B25" w:rsidP="00A02B25">
      <w:pPr>
        <w:jc w:val="center"/>
        <w:rPr>
          <w:b/>
          <w:sz w:val="32"/>
          <w:szCs w:val="32"/>
          <w:lang w:val="ru-RU"/>
        </w:rPr>
      </w:pPr>
      <w:r w:rsidRPr="00C36A77">
        <w:rPr>
          <w:b/>
          <w:sz w:val="32"/>
          <w:szCs w:val="32"/>
          <w:lang w:val="ru-RU"/>
        </w:rPr>
        <w:t>_____201</w:t>
      </w:r>
      <w:r w:rsidR="00F8389A">
        <w:rPr>
          <w:b/>
          <w:sz w:val="32"/>
          <w:szCs w:val="32"/>
          <w:lang w:val="en-US"/>
        </w:rPr>
        <w:t>7</w:t>
      </w:r>
      <w:r w:rsidRPr="00C36A77">
        <w:rPr>
          <w:b/>
          <w:sz w:val="32"/>
          <w:szCs w:val="32"/>
          <w:lang w:val="ru-RU"/>
        </w:rPr>
        <w:t>.године</w:t>
      </w:r>
    </w:p>
    <w:p w:rsidR="00A02B25" w:rsidRPr="00C36A77" w:rsidRDefault="00A02B25" w:rsidP="00A02B25">
      <w:pPr>
        <w:jc w:val="center"/>
        <w:rPr>
          <w:b/>
          <w:sz w:val="32"/>
          <w:szCs w:val="32"/>
          <w:lang w:val="ru-RU"/>
        </w:rPr>
      </w:pPr>
      <w:r w:rsidRPr="00C36A77">
        <w:rPr>
          <w:b/>
          <w:sz w:val="32"/>
          <w:szCs w:val="32"/>
          <w:lang w:val="ru-RU"/>
        </w:rPr>
        <w:t>Мерошина</w:t>
      </w:r>
    </w:p>
    <w:p w:rsidR="00F32525" w:rsidRPr="00C36A77" w:rsidRDefault="00F32525" w:rsidP="00A02B25">
      <w:pPr>
        <w:jc w:val="center"/>
        <w:rPr>
          <w:b/>
          <w:sz w:val="32"/>
          <w:szCs w:val="32"/>
          <w:lang w:val="ru-RU"/>
        </w:rPr>
      </w:pPr>
    </w:p>
    <w:p w:rsidR="00F32525" w:rsidRPr="00C36A77" w:rsidRDefault="00F32525" w:rsidP="00A02B25">
      <w:pPr>
        <w:jc w:val="center"/>
        <w:rPr>
          <w:b/>
          <w:sz w:val="32"/>
          <w:szCs w:val="32"/>
          <w:lang w:val="ru-RU"/>
        </w:rPr>
      </w:pPr>
    </w:p>
    <w:p w:rsidR="00F32525" w:rsidRPr="00C36A77" w:rsidRDefault="00F32525" w:rsidP="00A02B25">
      <w:pPr>
        <w:jc w:val="center"/>
        <w:rPr>
          <w:b/>
          <w:szCs w:val="24"/>
          <w:lang w:val="ru-RU"/>
        </w:rPr>
      </w:pPr>
      <w:r w:rsidRPr="00C36A77">
        <w:rPr>
          <w:b/>
          <w:szCs w:val="24"/>
          <w:lang w:val="ru-RU"/>
        </w:rPr>
        <w:lastRenderedPageBreak/>
        <w:t>Законски основ</w:t>
      </w:r>
    </w:p>
    <w:p w:rsidR="00F32525" w:rsidRPr="00C36A77" w:rsidRDefault="00F32525" w:rsidP="00A02B25">
      <w:pPr>
        <w:jc w:val="center"/>
        <w:rPr>
          <w:b/>
          <w:szCs w:val="24"/>
          <w:lang w:val="ru-RU"/>
        </w:rPr>
      </w:pPr>
    </w:p>
    <w:p w:rsidR="00F32525" w:rsidRDefault="00F32525" w:rsidP="00F32525">
      <w:pPr>
        <w:jc w:val="both"/>
        <w:rPr>
          <w:lang w:val="ru-RU"/>
        </w:rPr>
      </w:pPr>
      <w:r w:rsidRPr="00C36A77">
        <w:rPr>
          <w:b/>
          <w:szCs w:val="24"/>
          <w:lang w:val="ru-RU"/>
        </w:rPr>
        <w:tab/>
      </w:r>
      <w:r w:rsidRPr="00C36A77">
        <w:rPr>
          <w:szCs w:val="24"/>
          <w:lang w:val="ru-RU"/>
        </w:rPr>
        <w:t>Поступак припреме и доношења буџета локалне власт уређен је Законом о буџетском систему (</w:t>
      </w:r>
      <w:r w:rsidRPr="00F32525">
        <w:rPr>
          <w:lang w:val="ru-RU"/>
        </w:rPr>
        <w:t>"Сл. гласник РС", бр. 54/2009, 73/2010, 101/2010, 101/2011, 93/2012, 62/2</w:t>
      </w:r>
      <w:r>
        <w:rPr>
          <w:lang w:val="ru-RU"/>
        </w:rPr>
        <w:t>013, 63/2013 - испр., 108/2013</w:t>
      </w:r>
      <w:r w:rsidR="004747CF">
        <w:rPr>
          <w:lang w:val="ru-RU"/>
        </w:rPr>
        <w:t>,</w:t>
      </w:r>
      <w:r>
        <w:rPr>
          <w:lang w:val="ru-RU"/>
        </w:rPr>
        <w:t xml:space="preserve"> </w:t>
      </w:r>
      <w:r w:rsidRPr="00F32525">
        <w:rPr>
          <w:lang w:val="ru-RU"/>
        </w:rPr>
        <w:t>142/2014</w:t>
      </w:r>
      <w:r w:rsidR="004747CF">
        <w:rPr>
          <w:lang w:val="ru-RU"/>
        </w:rPr>
        <w:t>, 68/2015 и 103/2015</w:t>
      </w:r>
      <w:r>
        <w:rPr>
          <w:lang w:val="ru-RU"/>
        </w:rPr>
        <w:t xml:space="preserve">). На основу члана 31. Закона, по буџетском календару, Министар финансија доставља Упутство за припрему Одлуке о буџету локалне власти као и Фисклану стратегију до 5. </w:t>
      </w:r>
      <w:r w:rsidR="00BD68E3">
        <w:rPr>
          <w:lang w:val="ru-RU"/>
        </w:rPr>
        <w:t>ј</w:t>
      </w:r>
      <w:r>
        <w:rPr>
          <w:lang w:val="ru-RU"/>
        </w:rPr>
        <w:t>ула.</w:t>
      </w:r>
    </w:p>
    <w:p w:rsidR="00F32525" w:rsidRDefault="00F32525" w:rsidP="00F32525">
      <w:pPr>
        <w:jc w:val="both"/>
        <w:rPr>
          <w:lang w:val="ru-RU"/>
        </w:rPr>
      </w:pPr>
      <w:r>
        <w:rPr>
          <w:lang w:val="ru-RU"/>
        </w:rPr>
        <w:tab/>
        <w:t>Уколико Одлука о буџету локалне влас</w:t>
      </w:r>
      <w:r w:rsidR="000237A3">
        <w:rPr>
          <w:lang w:val="ru-RU"/>
        </w:rPr>
        <w:t>ти</w:t>
      </w:r>
      <w:r>
        <w:rPr>
          <w:lang w:val="ru-RU"/>
        </w:rPr>
        <w:t xml:space="preserve"> буде супротна смерницама из упутства које доставља Министар у делу којим се локалној власти дају смернице за планирање масе средстава за плате, </w:t>
      </w:r>
      <w:r w:rsidR="00BD68E3">
        <w:rPr>
          <w:lang w:val="ru-RU"/>
        </w:rPr>
        <w:t>броја запослених и субвенција, М</w:t>
      </w:r>
      <w:r>
        <w:rPr>
          <w:lang w:val="ru-RU"/>
        </w:rPr>
        <w:t>инистар може привремено обуставити пренос трансферних средстава из буџета Репуб</w:t>
      </w:r>
      <w:r w:rsidR="00BD68E3">
        <w:rPr>
          <w:lang w:val="ru-RU"/>
        </w:rPr>
        <w:t>лике Србије, до момента док се о</w:t>
      </w:r>
      <w:r>
        <w:rPr>
          <w:lang w:val="ru-RU"/>
        </w:rPr>
        <w:t>длука о буџету не усклади са упутством.</w:t>
      </w:r>
    </w:p>
    <w:p w:rsidR="00F32525" w:rsidRDefault="00F32525" w:rsidP="00F32525">
      <w:pPr>
        <w:jc w:val="both"/>
        <w:rPr>
          <w:lang w:val="ru-RU"/>
        </w:rPr>
      </w:pPr>
      <w:r>
        <w:rPr>
          <w:lang w:val="ru-RU"/>
        </w:rPr>
        <w:tab/>
        <w:t>Чланом 40. Закона о буџетском систему предвиђено је да по добијању фиска</w:t>
      </w:r>
      <w:r w:rsidR="00BD68E3">
        <w:rPr>
          <w:lang w:val="ru-RU"/>
        </w:rPr>
        <w:t>л</w:t>
      </w:r>
      <w:r>
        <w:rPr>
          <w:lang w:val="ru-RU"/>
        </w:rPr>
        <w:t>не стратегије, локални орган управе надлежан за финансије доставља директним и индиректним корисницима буџета Упутство за припрему буџета, које треба да садржи:</w:t>
      </w:r>
    </w:p>
    <w:p w:rsidR="00BD68E3" w:rsidRDefault="00BD68E3" w:rsidP="00F32525">
      <w:pPr>
        <w:jc w:val="both"/>
        <w:rPr>
          <w:lang w:val="ru-RU"/>
        </w:rPr>
      </w:pPr>
    </w:p>
    <w:p w:rsidR="00BD68E3" w:rsidRDefault="00F32525" w:rsidP="00F32525">
      <w:pPr>
        <w:jc w:val="both"/>
        <w:rPr>
          <w:lang w:val="ru-RU"/>
        </w:rPr>
      </w:pPr>
      <w:r>
        <w:rPr>
          <w:lang w:val="ru-RU"/>
        </w:rPr>
        <w:tab/>
        <w:t xml:space="preserve">- основне економске претпоставке и смернице за припрему нацрта буџета локалне </w:t>
      </w:r>
    </w:p>
    <w:p w:rsidR="00F32525" w:rsidRDefault="00BD68E3" w:rsidP="00BD68E3">
      <w:pPr>
        <w:ind w:firstLine="720"/>
        <w:jc w:val="both"/>
        <w:rPr>
          <w:lang w:val="ru-RU"/>
        </w:rPr>
      </w:pPr>
      <w:r>
        <w:rPr>
          <w:lang w:val="ru-RU"/>
        </w:rPr>
        <w:t xml:space="preserve">   </w:t>
      </w:r>
      <w:r w:rsidR="00F32525">
        <w:rPr>
          <w:lang w:val="ru-RU"/>
        </w:rPr>
        <w:t>власти;</w:t>
      </w:r>
    </w:p>
    <w:p w:rsidR="00F32525" w:rsidRDefault="00F32525" w:rsidP="00F32525">
      <w:pPr>
        <w:jc w:val="both"/>
        <w:rPr>
          <w:lang w:val="ru-RU"/>
        </w:rPr>
      </w:pPr>
      <w:r>
        <w:rPr>
          <w:lang w:val="ru-RU"/>
        </w:rPr>
        <w:tab/>
        <w:t>- опис планиране политике локалне власти;</w:t>
      </w:r>
    </w:p>
    <w:p w:rsidR="00BD68E3" w:rsidRDefault="00F32525" w:rsidP="00F32525">
      <w:pPr>
        <w:jc w:val="both"/>
        <w:rPr>
          <w:lang w:val="ru-RU"/>
        </w:rPr>
      </w:pPr>
      <w:r>
        <w:rPr>
          <w:lang w:val="ru-RU"/>
        </w:rPr>
        <w:tab/>
        <w:t xml:space="preserve">- процену прихода и примања и расхода и издатака буџета локалне власти за </w:t>
      </w:r>
    </w:p>
    <w:p w:rsidR="00F32525" w:rsidRDefault="00BD68E3" w:rsidP="00F32525">
      <w:pPr>
        <w:jc w:val="both"/>
        <w:rPr>
          <w:lang w:val="ru-RU"/>
        </w:rPr>
      </w:pPr>
      <w:r>
        <w:rPr>
          <w:lang w:val="ru-RU"/>
        </w:rPr>
        <w:t xml:space="preserve">              </w:t>
      </w:r>
      <w:r w:rsidR="00F32525">
        <w:rPr>
          <w:lang w:val="ru-RU"/>
        </w:rPr>
        <w:t>буџетску и наредне две фисклане године;</w:t>
      </w:r>
    </w:p>
    <w:p w:rsidR="00BD68E3" w:rsidRDefault="00F32525" w:rsidP="00F32525">
      <w:pPr>
        <w:jc w:val="both"/>
        <w:rPr>
          <w:lang w:val="ru-RU"/>
        </w:rPr>
      </w:pPr>
      <w:r>
        <w:rPr>
          <w:lang w:val="ru-RU"/>
        </w:rPr>
        <w:tab/>
        <w:t>- обим средстава које може да садрж</w:t>
      </w:r>
      <w:r w:rsidR="00720398">
        <w:rPr>
          <w:lang w:val="ru-RU"/>
        </w:rPr>
        <w:t xml:space="preserve">и предлог  финансијских планова директних и </w:t>
      </w:r>
    </w:p>
    <w:p w:rsidR="00BD68E3" w:rsidRDefault="00BD68E3" w:rsidP="00F32525">
      <w:pPr>
        <w:jc w:val="both"/>
        <w:rPr>
          <w:lang w:val="ru-RU"/>
        </w:rPr>
      </w:pPr>
      <w:r>
        <w:rPr>
          <w:lang w:val="ru-RU"/>
        </w:rPr>
        <w:t xml:space="preserve">              </w:t>
      </w:r>
      <w:r w:rsidR="00720398">
        <w:rPr>
          <w:lang w:val="ru-RU"/>
        </w:rPr>
        <w:t xml:space="preserve">индиректних буџетских корисника за буџетску годину, са пројекцијама за наредне </w:t>
      </w:r>
      <w:r>
        <w:rPr>
          <w:lang w:val="ru-RU"/>
        </w:rPr>
        <w:t xml:space="preserve">  </w:t>
      </w:r>
    </w:p>
    <w:p w:rsidR="00F32525" w:rsidRDefault="00BD68E3" w:rsidP="00F32525">
      <w:pPr>
        <w:jc w:val="both"/>
        <w:rPr>
          <w:lang w:val="ru-RU"/>
        </w:rPr>
      </w:pPr>
      <w:r>
        <w:rPr>
          <w:lang w:val="ru-RU"/>
        </w:rPr>
        <w:t xml:space="preserve">              д</w:t>
      </w:r>
      <w:r w:rsidR="00720398">
        <w:rPr>
          <w:lang w:val="ru-RU"/>
        </w:rPr>
        <w:t>ве фискалне године;</w:t>
      </w:r>
    </w:p>
    <w:p w:rsidR="00BD68E3" w:rsidRDefault="00720398" w:rsidP="00F32525">
      <w:pPr>
        <w:jc w:val="both"/>
        <w:rPr>
          <w:lang w:val="ru-RU"/>
        </w:rPr>
      </w:pPr>
      <w:r>
        <w:rPr>
          <w:lang w:val="ru-RU"/>
        </w:rPr>
        <w:tab/>
        <w:t>- смернице за припрему средњорочних</w:t>
      </w:r>
      <w:r w:rsidR="00BD68E3">
        <w:rPr>
          <w:lang w:val="ru-RU"/>
        </w:rPr>
        <w:t xml:space="preserve"> </w:t>
      </w:r>
      <w:r>
        <w:rPr>
          <w:lang w:val="ru-RU"/>
        </w:rPr>
        <w:t xml:space="preserve">планова директних корисника средстава </w:t>
      </w:r>
    </w:p>
    <w:p w:rsidR="00720398" w:rsidRDefault="00BD68E3" w:rsidP="00F32525">
      <w:pPr>
        <w:jc w:val="both"/>
        <w:rPr>
          <w:lang w:val="ru-RU"/>
        </w:rPr>
      </w:pPr>
      <w:r>
        <w:rPr>
          <w:lang w:val="ru-RU"/>
        </w:rPr>
        <w:t xml:space="preserve">              </w:t>
      </w:r>
      <w:r w:rsidR="00720398">
        <w:rPr>
          <w:lang w:val="ru-RU"/>
        </w:rPr>
        <w:t>буџета локалних власти;</w:t>
      </w:r>
    </w:p>
    <w:p w:rsidR="00BD68E3" w:rsidRDefault="00720398" w:rsidP="00F32525">
      <w:pPr>
        <w:jc w:val="both"/>
        <w:rPr>
          <w:lang w:val="ru-RU"/>
        </w:rPr>
      </w:pPr>
      <w:r>
        <w:rPr>
          <w:lang w:val="ru-RU"/>
        </w:rPr>
        <w:tab/>
        <w:t xml:space="preserve">- поступак и динамику припреме буџета и предлога финансијских планова </w:t>
      </w:r>
    </w:p>
    <w:p w:rsidR="00720398" w:rsidRDefault="00BD68E3" w:rsidP="00F32525">
      <w:pPr>
        <w:jc w:val="both"/>
        <w:rPr>
          <w:lang w:val="ru-RU"/>
        </w:rPr>
      </w:pPr>
      <w:r>
        <w:rPr>
          <w:lang w:val="ru-RU"/>
        </w:rPr>
        <w:t xml:space="preserve">             </w:t>
      </w:r>
      <w:r w:rsidR="00720398">
        <w:rPr>
          <w:lang w:val="ru-RU"/>
        </w:rPr>
        <w:t>директних буџетских корисника.</w:t>
      </w:r>
    </w:p>
    <w:p w:rsidR="00720398" w:rsidRDefault="00720398" w:rsidP="00F32525">
      <w:pPr>
        <w:jc w:val="both"/>
        <w:rPr>
          <w:lang w:val="ru-RU"/>
        </w:rPr>
      </w:pPr>
    </w:p>
    <w:p w:rsidR="00720398" w:rsidRDefault="00720398" w:rsidP="00F32525">
      <w:pPr>
        <w:jc w:val="both"/>
        <w:rPr>
          <w:lang w:val="ru-RU"/>
        </w:rPr>
      </w:pPr>
      <w:r>
        <w:rPr>
          <w:lang w:val="ru-RU"/>
        </w:rPr>
        <w:tab/>
        <w:t>Чланом 41. Закона дефинисано је да су индиректни корисници средстава буџе</w:t>
      </w:r>
      <w:r w:rsidR="00BD68E3">
        <w:rPr>
          <w:lang w:val="ru-RU"/>
        </w:rPr>
        <w:t>та локалне влас</w:t>
      </w:r>
      <w:r>
        <w:rPr>
          <w:lang w:val="ru-RU"/>
        </w:rPr>
        <w:t>т</w:t>
      </w:r>
      <w:r w:rsidR="00BD68E3">
        <w:rPr>
          <w:lang w:val="ru-RU"/>
        </w:rPr>
        <w:t>и</w:t>
      </w:r>
      <w:r>
        <w:rPr>
          <w:lang w:val="ru-RU"/>
        </w:rPr>
        <w:t xml:space="preserve"> обавезни да припреме предлог финансијског плана на основу смерница које се односе на буџет локалне власти.</w:t>
      </w:r>
    </w:p>
    <w:p w:rsidR="00BD68E3" w:rsidRDefault="00BD68E3" w:rsidP="00F32525">
      <w:pPr>
        <w:jc w:val="both"/>
        <w:rPr>
          <w:lang w:val="ru-RU"/>
        </w:rPr>
      </w:pPr>
    </w:p>
    <w:p w:rsidR="00720398" w:rsidRDefault="00720398" w:rsidP="00F32525">
      <w:pPr>
        <w:jc w:val="both"/>
        <w:rPr>
          <w:lang w:val="ru-RU"/>
        </w:rPr>
      </w:pPr>
      <w:r>
        <w:rPr>
          <w:lang w:val="ru-RU"/>
        </w:rPr>
        <w:tab/>
        <w:t>Директни корисници обавезни су да, у складу са смерницама 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 Истим чланом је предвиђено и да локални орган управе надлежан за финансије може да тражи непосредно од индиректних буџетских корисника податке о финансирању који су неопходни за припрему предлога буџета локалне власти.</w:t>
      </w:r>
    </w:p>
    <w:p w:rsidR="00BD68E3" w:rsidRDefault="00BD68E3" w:rsidP="00F32525">
      <w:pPr>
        <w:jc w:val="both"/>
        <w:rPr>
          <w:lang w:val="ru-RU"/>
        </w:rPr>
      </w:pPr>
    </w:p>
    <w:p w:rsidR="00720398" w:rsidRDefault="00720398" w:rsidP="00F32525">
      <w:pPr>
        <w:jc w:val="both"/>
        <w:rPr>
          <w:lang w:val="ru-RU"/>
        </w:rPr>
      </w:pPr>
      <w:r>
        <w:rPr>
          <w:lang w:val="ru-RU"/>
        </w:rPr>
        <w:tab/>
        <w:t>У складу са чланом 27в. Закона о буџетском систему Влада сваке фискалне године подноси Народној скупштини Фискалну стратегију. Главни циљеви Фиска</w:t>
      </w:r>
      <w:r w:rsidR="00BD68E3">
        <w:rPr>
          <w:lang w:val="ru-RU"/>
        </w:rPr>
        <w:t>л</w:t>
      </w:r>
      <w:r>
        <w:rPr>
          <w:lang w:val="ru-RU"/>
        </w:rPr>
        <w:t>не стратегије су:</w:t>
      </w:r>
    </w:p>
    <w:p w:rsidR="00BD68E3" w:rsidRPr="004818C2" w:rsidRDefault="00BD68E3" w:rsidP="00F32525">
      <w:pPr>
        <w:jc w:val="both"/>
      </w:pPr>
    </w:p>
    <w:p w:rsidR="0022418F" w:rsidRDefault="00BD68E3" w:rsidP="00BD68E3">
      <w:pPr>
        <w:ind w:firstLine="720"/>
        <w:jc w:val="both"/>
        <w:rPr>
          <w:lang w:val="ru-RU"/>
        </w:rPr>
      </w:pPr>
      <w:r>
        <w:rPr>
          <w:lang w:val="ru-RU"/>
        </w:rPr>
        <w:t>1) утврђивање краткоро</w:t>
      </w:r>
      <w:r w:rsidR="0022418F">
        <w:rPr>
          <w:lang w:val="ru-RU"/>
        </w:rPr>
        <w:t>чних и средњорочних циљева фиск</w:t>
      </w:r>
      <w:r>
        <w:rPr>
          <w:lang w:val="ru-RU"/>
        </w:rPr>
        <w:t>а</w:t>
      </w:r>
      <w:r w:rsidR="0022418F">
        <w:rPr>
          <w:lang w:val="ru-RU"/>
        </w:rPr>
        <w:t>л</w:t>
      </w:r>
      <w:r>
        <w:rPr>
          <w:lang w:val="ru-RU"/>
        </w:rPr>
        <w:t xml:space="preserve">не политике Владе за </w:t>
      </w:r>
    </w:p>
    <w:p w:rsidR="0022418F" w:rsidRDefault="0022418F" w:rsidP="00BD68E3">
      <w:pPr>
        <w:ind w:firstLine="720"/>
        <w:jc w:val="both"/>
        <w:rPr>
          <w:lang w:val="ru-RU"/>
        </w:rPr>
      </w:pPr>
      <w:r>
        <w:rPr>
          <w:lang w:val="ru-RU"/>
        </w:rPr>
        <w:t xml:space="preserve">    период од три узастопне фиск</w:t>
      </w:r>
      <w:r w:rsidR="00BD68E3">
        <w:rPr>
          <w:lang w:val="ru-RU"/>
        </w:rPr>
        <w:t>а</w:t>
      </w:r>
      <w:r>
        <w:rPr>
          <w:lang w:val="ru-RU"/>
        </w:rPr>
        <w:t>л</w:t>
      </w:r>
      <w:r w:rsidR="00BD68E3">
        <w:rPr>
          <w:lang w:val="ru-RU"/>
        </w:rPr>
        <w:t>не године, поч</w:t>
      </w:r>
      <w:r>
        <w:rPr>
          <w:lang w:val="ru-RU"/>
        </w:rPr>
        <w:t>ев од фиск</w:t>
      </w:r>
      <w:r w:rsidR="00BD68E3">
        <w:rPr>
          <w:lang w:val="ru-RU"/>
        </w:rPr>
        <w:t>а</w:t>
      </w:r>
      <w:r>
        <w:rPr>
          <w:lang w:val="ru-RU"/>
        </w:rPr>
        <w:t>л</w:t>
      </w:r>
      <w:r w:rsidR="00BD68E3">
        <w:rPr>
          <w:lang w:val="ru-RU"/>
        </w:rPr>
        <w:t xml:space="preserve">не године за коју се </w:t>
      </w:r>
    </w:p>
    <w:p w:rsidR="00BD68E3" w:rsidRDefault="0022418F" w:rsidP="00BD68E3">
      <w:pPr>
        <w:ind w:firstLine="720"/>
        <w:jc w:val="both"/>
        <w:rPr>
          <w:lang w:val="ru-RU"/>
        </w:rPr>
      </w:pPr>
      <w:r>
        <w:rPr>
          <w:lang w:val="ru-RU"/>
        </w:rPr>
        <w:t xml:space="preserve">   </w:t>
      </w:r>
      <w:r w:rsidR="00BD68E3">
        <w:rPr>
          <w:lang w:val="ru-RU"/>
        </w:rPr>
        <w:t>Фискална стратегија подноси;</w:t>
      </w:r>
    </w:p>
    <w:p w:rsidR="0022418F" w:rsidRDefault="00BD68E3" w:rsidP="00BD68E3">
      <w:pPr>
        <w:ind w:firstLine="720"/>
        <w:jc w:val="both"/>
        <w:rPr>
          <w:lang w:val="ru-RU"/>
        </w:rPr>
      </w:pPr>
      <w:r>
        <w:rPr>
          <w:lang w:val="ru-RU"/>
        </w:rPr>
        <w:t xml:space="preserve">2) пружање детаљног објашњења о усклађености наведених средњорочних циљева </w:t>
      </w:r>
    </w:p>
    <w:p w:rsidR="00BD68E3" w:rsidRDefault="0022418F" w:rsidP="00BD68E3">
      <w:pPr>
        <w:ind w:firstLine="720"/>
        <w:jc w:val="both"/>
        <w:rPr>
          <w:lang w:val="ru-RU"/>
        </w:rPr>
      </w:pPr>
      <w:r>
        <w:rPr>
          <w:lang w:val="ru-RU"/>
        </w:rPr>
        <w:lastRenderedPageBreak/>
        <w:t xml:space="preserve">    </w:t>
      </w:r>
      <w:r w:rsidR="00BD68E3">
        <w:rPr>
          <w:lang w:val="ru-RU"/>
        </w:rPr>
        <w:t>са фискланим принципима и правилима утврђеним овим законом;</w:t>
      </w:r>
    </w:p>
    <w:p w:rsidR="0022418F" w:rsidRDefault="0022418F" w:rsidP="00BD68E3">
      <w:pPr>
        <w:ind w:firstLine="720"/>
        <w:jc w:val="both"/>
        <w:rPr>
          <w:lang w:val="ru-RU"/>
        </w:rPr>
      </w:pPr>
      <w:r>
        <w:rPr>
          <w:lang w:val="ru-RU"/>
        </w:rPr>
        <w:t>3) процена утицаја фиск</w:t>
      </w:r>
      <w:r w:rsidR="00BD68E3">
        <w:rPr>
          <w:lang w:val="ru-RU"/>
        </w:rPr>
        <w:t>а</w:t>
      </w:r>
      <w:r>
        <w:rPr>
          <w:lang w:val="ru-RU"/>
        </w:rPr>
        <w:t>л</w:t>
      </w:r>
      <w:r w:rsidR="00BD68E3">
        <w:rPr>
          <w:lang w:val="ru-RU"/>
        </w:rPr>
        <w:t>не политике на међуге</w:t>
      </w:r>
      <w:r>
        <w:rPr>
          <w:lang w:val="ru-RU"/>
        </w:rPr>
        <w:t>н</w:t>
      </w:r>
      <w:r w:rsidR="00BD68E3">
        <w:rPr>
          <w:lang w:val="ru-RU"/>
        </w:rPr>
        <w:t>ерацијску расподелу дохотка, као</w:t>
      </w:r>
      <w:r>
        <w:rPr>
          <w:lang w:val="ru-RU"/>
        </w:rPr>
        <w:t xml:space="preserve"> </w:t>
      </w:r>
    </w:p>
    <w:p w:rsidR="00BD68E3" w:rsidRDefault="0022418F" w:rsidP="00BD68E3">
      <w:pPr>
        <w:ind w:firstLine="720"/>
        <w:jc w:val="both"/>
        <w:rPr>
          <w:lang w:val="ru-RU"/>
        </w:rPr>
      </w:pPr>
      <w:r>
        <w:rPr>
          <w:lang w:val="ru-RU"/>
        </w:rPr>
        <w:t xml:space="preserve">    </w:t>
      </w:r>
      <w:r w:rsidR="00C43B25">
        <w:rPr>
          <w:lang w:val="ru-RU"/>
        </w:rPr>
        <w:t>и процена одрживости фиск</w:t>
      </w:r>
      <w:r w:rsidR="00BD68E3">
        <w:rPr>
          <w:lang w:val="ru-RU"/>
        </w:rPr>
        <w:t>а</w:t>
      </w:r>
      <w:r w:rsidR="00C43B25">
        <w:rPr>
          <w:lang w:val="ru-RU"/>
        </w:rPr>
        <w:t>л</w:t>
      </w:r>
      <w:r w:rsidR="00BD68E3">
        <w:rPr>
          <w:lang w:val="ru-RU"/>
        </w:rPr>
        <w:t>не политике.</w:t>
      </w:r>
    </w:p>
    <w:p w:rsidR="00BD68E3" w:rsidRDefault="00BD68E3" w:rsidP="00BD68E3">
      <w:pPr>
        <w:ind w:firstLine="720"/>
        <w:jc w:val="both"/>
        <w:rPr>
          <w:lang w:val="ru-RU"/>
        </w:rPr>
      </w:pPr>
    </w:p>
    <w:p w:rsidR="00BD68E3" w:rsidRDefault="00BD68E3" w:rsidP="00BD68E3">
      <w:pPr>
        <w:ind w:firstLine="720"/>
        <w:jc w:val="both"/>
        <w:rPr>
          <w:lang w:val="ru-RU"/>
        </w:rPr>
      </w:pPr>
      <w:r>
        <w:rPr>
          <w:lang w:val="ru-RU"/>
        </w:rPr>
        <w:t>Министарство финансија требало је да, у складу са члном 31. Закона о буџетском систему, припреми нацрт Фиска</w:t>
      </w:r>
      <w:r w:rsidR="00C43B25">
        <w:rPr>
          <w:lang w:val="ru-RU"/>
        </w:rPr>
        <w:t>л</w:t>
      </w:r>
      <w:r>
        <w:rPr>
          <w:lang w:val="ru-RU"/>
        </w:rPr>
        <w:t>не стратегије за 201</w:t>
      </w:r>
      <w:r w:rsidR="00F8389A">
        <w:rPr>
          <w:lang w:val="en-US"/>
        </w:rPr>
        <w:t>8</w:t>
      </w:r>
      <w:r>
        <w:rPr>
          <w:lang w:val="ru-RU"/>
        </w:rPr>
        <w:t>.годину са пројекцијама за 201</w:t>
      </w:r>
      <w:r w:rsidR="00F8389A">
        <w:rPr>
          <w:lang w:val="en-US"/>
        </w:rPr>
        <w:t>9</w:t>
      </w:r>
      <w:r w:rsidR="00660D77">
        <w:rPr>
          <w:lang w:val="ru-RU"/>
        </w:rPr>
        <w:t>. и 20</w:t>
      </w:r>
      <w:r w:rsidR="00F8389A">
        <w:rPr>
          <w:lang w:val="en-US"/>
        </w:rPr>
        <w:t>20</w:t>
      </w:r>
      <w:r>
        <w:rPr>
          <w:lang w:val="ru-RU"/>
        </w:rPr>
        <w:t>.годину и достави га на мишљење Фиска</w:t>
      </w:r>
      <w:r w:rsidR="00C43B25">
        <w:rPr>
          <w:lang w:val="ru-RU"/>
        </w:rPr>
        <w:t>л</w:t>
      </w:r>
      <w:r>
        <w:rPr>
          <w:lang w:val="ru-RU"/>
        </w:rPr>
        <w:t>ном савету до 30.априла 201</w:t>
      </w:r>
      <w:r w:rsidR="00F8389A">
        <w:rPr>
          <w:lang w:val="en-US"/>
        </w:rPr>
        <w:t>7</w:t>
      </w:r>
      <w:r>
        <w:rPr>
          <w:lang w:val="ru-RU"/>
        </w:rPr>
        <w:t>.године, а Влади на усвајање до 1. јуна 201</w:t>
      </w:r>
      <w:r w:rsidR="00F8389A">
        <w:rPr>
          <w:lang w:val="en-US"/>
        </w:rPr>
        <w:t>7</w:t>
      </w:r>
      <w:r>
        <w:rPr>
          <w:lang w:val="ru-RU"/>
        </w:rPr>
        <w:t>.године.</w:t>
      </w:r>
    </w:p>
    <w:p w:rsidR="00BD68E3" w:rsidRDefault="00BD68E3" w:rsidP="00BD68E3">
      <w:pPr>
        <w:ind w:firstLine="720"/>
        <w:jc w:val="both"/>
        <w:rPr>
          <w:lang w:val="ru-RU"/>
        </w:rPr>
      </w:pPr>
    </w:p>
    <w:p w:rsidR="00BD68E3" w:rsidRDefault="00BD68E3" w:rsidP="00BD68E3">
      <w:pPr>
        <w:ind w:firstLine="720"/>
        <w:jc w:val="both"/>
        <w:rPr>
          <w:lang w:val="ru-RU"/>
        </w:rPr>
      </w:pPr>
      <w:r>
        <w:rPr>
          <w:lang w:val="ru-RU"/>
        </w:rPr>
        <w:t>До истека законског рока министарство надлежно за послове финансија није доставило локалним самоуправама Упутство за израду буџета за 201</w:t>
      </w:r>
      <w:r w:rsidR="00F8389A">
        <w:rPr>
          <w:lang w:val="en-US"/>
        </w:rPr>
        <w:t>8</w:t>
      </w:r>
      <w:r>
        <w:rPr>
          <w:lang w:val="ru-RU"/>
        </w:rPr>
        <w:t>.годину, нити Фискалну стратегију за 201</w:t>
      </w:r>
      <w:r w:rsidR="00F8389A">
        <w:rPr>
          <w:lang w:val="en-US"/>
        </w:rPr>
        <w:t>8</w:t>
      </w:r>
      <w:r>
        <w:rPr>
          <w:lang w:val="ru-RU"/>
        </w:rPr>
        <w:t>.годину, Из тог разлога процес планирања буџета Општине Мерошина започиње на основу Фиска</w:t>
      </w:r>
      <w:r w:rsidR="00C43B25">
        <w:rPr>
          <w:lang w:val="ru-RU"/>
        </w:rPr>
        <w:t>л</w:t>
      </w:r>
      <w:r w:rsidR="00597277">
        <w:rPr>
          <w:lang w:val="ru-RU"/>
        </w:rPr>
        <w:t>не стратегије за 201</w:t>
      </w:r>
      <w:r w:rsidR="00F8389A">
        <w:rPr>
          <w:lang w:val="en-US"/>
        </w:rPr>
        <w:t>7</w:t>
      </w:r>
      <w:r>
        <w:rPr>
          <w:lang w:val="ru-RU"/>
        </w:rPr>
        <w:t>.годину са пројекцијама за 201</w:t>
      </w:r>
      <w:r w:rsidR="00F8389A">
        <w:rPr>
          <w:lang w:val="en-US"/>
        </w:rPr>
        <w:t>8</w:t>
      </w:r>
      <w:r w:rsidR="00597277">
        <w:rPr>
          <w:lang w:val="ru-RU"/>
        </w:rPr>
        <w:t>. и 201</w:t>
      </w:r>
      <w:r w:rsidR="00F8389A">
        <w:rPr>
          <w:lang w:val="en-US"/>
        </w:rPr>
        <w:t>9</w:t>
      </w:r>
      <w:r w:rsidR="00660D77">
        <w:rPr>
          <w:lang w:val="ru-RU"/>
        </w:rPr>
        <w:t xml:space="preserve">.годину као и </w:t>
      </w:r>
      <w:r w:rsidR="00660D77" w:rsidRPr="00660D77">
        <w:rPr>
          <w:b/>
          <w:lang w:val="ru-RU"/>
        </w:rPr>
        <w:t xml:space="preserve">Програма економских реформи за период од 2016.до 2018.године </w:t>
      </w:r>
      <w:r w:rsidR="00660D77">
        <w:rPr>
          <w:lang w:val="ru-RU"/>
        </w:rPr>
        <w:t>који је Влада Републике Србије усвојила 3.марта 2016.године.</w:t>
      </w:r>
    </w:p>
    <w:p w:rsidR="00527D7E" w:rsidRDefault="00527D7E" w:rsidP="00BD68E3">
      <w:pPr>
        <w:ind w:firstLine="720"/>
        <w:jc w:val="both"/>
        <w:rPr>
          <w:lang w:val="ru-RU"/>
        </w:rPr>
      </w:pPr>
    </w:p>
    <w:p w:rsidR="00AA6014" w:rsidRDefault="00ED79CF" w:rsidP="00AA6014">
      <w:pPr>
        <w:ind w:firstLine="720"/>
        <w:jc w:val="both"/>
        <w:rPr>
          <w:szCs w:val="24"/>
          <w:lang w:val="ru-RU"/>
        </w:rPr>
      </w:pPr>
      <w:r>
        <w:rPr>
          <w:szCs w:val="24"/>
          <w:lang w:val="ru-RU"/>
        </w:rPr>
        <w:t>Приоритетне структурне реформе организоване су у осам кључних области:</w:t>
      </w:r>
    </w:p>
    <w:p w:rsidR="00ED79CF" w:rsidRDefault="00ED79CF" w:rsidP="00AA6014">
      <w:pPr>
        <w:ind w:firstLine="720"/>
        <w:jc w:val="both"/>
        <w:rPr>
          <w:szCs w:val="24"/>
          <w:lang w:val="ru-RU"/>
        </w:rPr>
      </w:pPr>
      <w:r>
        <w:rPr>
          <w:szCs w:val="24"/>
          <w:lang w:val="ru-RU"/>
        </w:rPr>
        <w:t>- управљање јавним финансијама;</w:t>
      </w:r>
    </w:p>
    <w:p w:rsidR="00ED79CF" w:rsidRDefault="00ED79CF" w:rsidP="00AA6014">
      <w:pPr>
        <w:ind w:firstLine="720"/>
        <w:jc w:val="both"/>
        <w:rPr>
          <w:szCs w:val="24"/>
          <w:lang w:val="ru-RU"/>
        </w:rPr>
      </w:pPr>
      <w:r>
        <w:rPr>
          <w:szCs w:val="24"/>
          <w:lang w:val="ru-RU"/>
        </w:rPr>
        <w:t>- инфраструктура,</w:t>
      </w:r>
    </w:p>
    <w:p w:rsidR="00ED79CF" w:rsidRDefault="00ED79CF" w:rsidP="00AA6014">
      <w:pPr>
        <w:ind w:firstLine="720"/>
        <w:jc w:val="both"/>
        <w:rPr>
          <w:szCs w:val="24"/>
          <w:lang w:val="ru-RU"/>
        </w:rPr>
      </w:pPr>
      <w:r>
        <w:rPr>
          <w:szCs w:val="24"/>
          <w:lang w:val="ru-RU"/>
        </w:rPr>
        <w:t>- развој секотра пољопривреде, индустрије и услуга;</w:t>
      </w:r>
    </w:p>
    <w:p w:rsidR="00ED79CF" w:rsidRDefault="00ED79CF" w:rsidP="00AA6014">
      <w:pPr>
        <w:ind w:firstLine="720"/>
        <w:jc w:val="both"/>
        <w:rPr>
          <w:szCs w:val="24"/>
          <w:lang w:val="ru-RU"/>
        </w:rPr>
      </w:pPr>
      <w:r>
        <w:rPr>
          <w:szCs w:val="24"/>
          <w:lang w:val="ru-RU"/>
        </w:rPr>
        <w:t xml:space="preserve">- пословни </w:t>
      </w:r>
      <w:r w:rsidR="005552E5">
        <w:rPr>
          <w:szCs w:val="24"/>
          <w:lang w:val="ru-RU"/>
        </w:rPr>
        <w:t>а</w:t>
      </w:r>
      <w:r>
        <w:rPr>
          <w:szCs w:val="24"/>
          <w:lang w:val="ru-RU"/>
        </w:rPr>
        <w:t>мбијент и борба против сиве економије;</w:t>
      </w:r>
    </w:p>
    <w:p w:rsidR="00ED79CF" w:rsidRDefault="00ED79CF" w:rsidP="00AA6014">
      <w:pPr>
        <w:ind w:firstLine="720"/>
        <w:jc w:val="both"/>
        <w:rPr>
          <w:szCs w:val="24"/>
          <w:lang w:val="ru-RU"/>
        </w:rPr>
      </w:pPr>
      <w:r>
        <w:rPr>
          <w:szCs w:val="24"/>
          <w:lang w:val="ru-RU"/>
        </w:rPr>
        <w:t>- технолошка апсорпција и иновације;</w:t>
      </w:r>
    </w:p>
    <w:p w:rsidR="00ED79CF" w:rsidRDefault="00ED79CF" w:rsidP="00AA6014">
      <w:pPr>
        <w:ind w:firstLine="720"/>
        <w:jc w:val="both"/>
        <w:rPr>
          <w:szCs w:val="24"/>
          <w:lang w:val="ru-RU"/>
        </w:rPr>
      </w:pPr>
      <w:r>
        <w:rPr>
          <w:szCs w:val="24"/>
          <w:lang w:val="ru-RU"/>
        </w:rPr>
        <w:t>- трговинска инте</w:t>
      </w:r>
      <w:r w:rsidR="00EC7E55">
        <w:rPr>
          <w:szCs w:val="24"/>
          <w:lang w:val="ru-RU"/>
        </w:rPr>
        <w:t>г</w:t>
      </w:r>
      <w:r>
        <w:rPr>
          <w:szCs w:val="24"/>
          <w:lang w:val="ru-RU"/>
        </w:rPr>
        <w:t>рисаност, запосленост и тржиште рада;</w:t>
      </w:r>
    </w:p>
    <w:p w:rsidR="00ED79CF" w:rsidRDefault="00ED79CF" w:rsidP="00AA6014">
      <w:pPr>
        <w:ind w:firstLine="720"/>
        <w:jc w:val="both"/>
        <w:rPr>
          <w:szCs w:val="24"/>
          <w:lang w:val="ru-RU"/>
        </w:rPr>
      </w:pPr>
      <w:r>
        <w:rPr>
          <w:szCs w:val="24"/>
          <w:lang w:val="ru-RU"/>
        </w:rPr>
        <w:t>- социјално укључивање, смањење сиромаштва и</w:t>
      </w:r>
    </w:p>
    <w:p w:rsidR="00ED79CF" w:rsidRDefault="00ED79CF" w:rsidP="00AA6014">
      <w:pPr>
        <w:ind w:firstLine="720"/>
        <w:jc w:val="both"/>
        <w:rPr>
          <w:szCs w:val="24"/>
          <w:lang w:val="ru-RU"/>
        </w:rPr>
      </w:pPr>
      <w:r>
        <w:rPr>
          <w:szCs w:val="24"/>
          <w:lang w:val="ru-RU"/>
        </w:rPr>
        <w:t>- промовисање једнаких могућности.</w:t>
      </w:r>
    </w:p>
    <w:p w:rsidR="00ED79CF" w:rsidRDefault="00ED79CF" w:rsidP="00AA6014">
      <w:pPr>
        <w:ind w:firstLine="720"/>
        <w:jc w:val="both"/>
        <w:rPr>
          <w:szCs w:val="24"/>
          <w:lang w:val="ru-RU"/>
        </w:rPr>
      </w:pPr>
    </w:p>
    <w:p w:rsidR="00ED79CF" w:rsidRDefault="00F8389A" w:rsidP="00AA6014">
      <w:pPr>
        <w:ind w:firstLine="720"/>
        <w:jc w:val="both"/>
        <w:rPr>
          <w:szCs w:val="24"/>
          <w:lang w:val="ru-RU"/>
        </w:rPr>
      </w:pPr>
      <w:r>
        <w:rPr>
          <w:szCs w:val="24"/>
          <w:lang w:val="ru-RU"/>
        </w:rPr>
        <w:t>Раст БДП у 201</w:t>
      </w:r>
      <w:r>
        <w:rPr>
          <w:szCs w:val="24"/>
          <w:lang w:val="en-US"/>
        </w:rPr>
        <w:t>7</w:t>
      </w:r>
      <w:r w:rsidR="00ED79CF">
        <w:rPr>
          <w:szCs w:val="24"/>
          <w:lang w:val="ru-RU"/>
        </w:rPr>
        <w:t>.години,</w:t>
      </w:r>
      <w:r w:rsidR="00EC7E55">
        <w:rPr>
          <w:szCs w:val="24"/>
          <w:lang w:val="ru-RU"/>
        </w:rPr>
        <w:t xml:space="preserve"> </w:t>
      </w:r>
      <w:r w:rsidR="00ED79CF">
        <w:rPr>
          <w:szCs w:val="24"/>
          <w:lang w:val="ru-RU"/>
        </w:rPr>
        <w:t xml:space="preserve">ревидиран је навише са </w:t>
      </w:r>
      <w:r w:rsidR="008443DA">
        <w:rPr>
          <w:szCs w:val="24"/>
          <w:lang w:val="en-US"/>
        </w:rPr>
        <w:t>2,7</w:t>
      </w:r>
      <w:r w:rsidR="00ED79CF">
        <w:rPr>
          <w:szCs w:val="24"/>
          <w:lang w:val="ru-RU"/>
        </w:rPr>
        <w:t xml:space="preserve">% на </w:t>
      </w:r>
      <w:r w:rsidR="008443DA">
        <w:rPr>
          <w:szCs w:val="24"/>
          <w:lang w:val="en-US"/>
        </w:rPr>
        <w:t>3</w:t>
      </w:r>
      <w:r w:rsidR="00ED79CF">
        <w:rPr>
          <w:szCs w:val="24"/>
          <w:lang w:val="ru-RU"/>
        </w:rPr>
        <w:t>% и биће вођен растом инвестиционе потрошње. Такође, очекује се скроман раст животног стандарда. Фискални прос</w:t>
      </w:r>
      <w:r w:rsidR="00EC7E55">
        <w:rPr>
          <w:szCs w:val="24"/>
          <w:lang w:val="ru-RU"/>
        </w:rPr>
        <w:t>тор, обезбеђен снажним структур</w:t>
      </w:r>
      <w:r w:rsidR="00ED79CF">
        <w:rPr>
          <w:szCs w:val="24"/>
          <w:lang w:val="ru-RU"/>
        </w:rPr>
        <w:t>ним прилагођавањем омогућио је благо кориговањ</w:t>
      </w:r>
      <w:r>
        <w:rPr>
          <w:szCs w:val="24"/>
          <w:lang w:val="ru-RU"/>
        </w:rPr>
        <w:t>е навише државне потрошње у 201</w:t>
      </w:r>
      <w:r>
        <w:rPr>
          <w:szCs w:val="24"/>
          <w:lang w:val="en-US"/>
        </w:rPr>
        <w:t>7</w:t>
      </w:r>
      <w:r w:rsidR="00ED79CF">
        <w:rPr>
          <w:szCs w:val="24"/>
          <w:lang w:val="ru-RU"/>
        </w:rPr>
        <w:t>.години.</w:t>
      </w:r>
    </w:p>
    <w:p w:rsidR="00ED79CF" w:rsidRDefault="00ED79CF" w:rsidP="00AA6014">
      <w:pPr>
        <w:ind w:firstLine="720"/>
        <w:jc w:val="both"/>
        <w:rPr>
          <w:szCs w:val="24"/>
          <w:lang w:val="ru-RU"/>
        </w:rPr>
      </w:pPr>
      <w:r>
        <w:rPr>
          <w:szCs w:val="24"/>
          <w:lang w:val="ru-RU"/>
        </w:rPr>
        <w:t>У поређењу са претходним Програмом економских реформи, макроеконом</w:t>
      </w:r>
      <w:r w:rsidR="00F8389A">
        <w:rPr>
          <w:szCs w:val="24"/>
          <w:lang w:val="ru-RU"/>
        </w:rPr>
        <w:t>ске пројекције за период од 201</w:t>
      </w:r>
      <w:r w:rsidR="00F8389A">
        <w:rPr>
          <w:szCs w:val="24"/>
          <w:lang w:val="en-US"/>
        </w:rPr>
        <w:t>7</w:t>
      </w:r>
      <w:r w:rsidR="00F8389A">
        <w:rPr>
          <w:szCs w:val="24"/>
          <w:lang w:val="ru-RU"/>
        </w:rPr>
        <w:t>.до 201</w:t>
      </w:r>
      <w:r w:rsidR="00F8389A">
        <w:rPr>
          <w:szCs w:val="24"/>
          <w:lang w:val="en-US"/>
        </w:rPr>
        <w:t>9</w:t>
      </w:r>
      <w:r>
        <w:rPr>
          <w:szCs w:val="24"/>
          <w:lang w:val="ru-RU"/>
        </w:rPr>
        <w:t>.године указују на пов</w:t>
      </w:r>
      <w:r w:rsidR="00EC7E55">
        <w:rPr>
          <w:szCs w:val="24"/>
          <w:lang w:val="ru-RU"/>
        </w:rPr>
        <w:t>о</w:t>
      </w:r>
      <w:r>
        <w:rPr>
          <w:szCs w:val="24"/>
          <w:lang w:val="ru-RU"/>
        </w:rPr>
        <w:t xml:space="preserve">љнију путању опоравка. Пројектована кумулативна стопа раст реалног БДП за наредне три године од </w:t>
      </w:r>
      <w:r w:rsidR="008443DA">
        <w:rPr>
          <w:szCs w:val="24"/>
          <w:lang w:val="en-US"/>
        </w:rPr>
        <w:t>10,5</w:t>
      </w:r>
      <w:r>
        <w:rPr>
          <w:szCs w:val="24"/>
          <w:lang w:val="ru-RU"/>
        </w:rPr>
        <w:t>% заснована је на расту домаће тражње, пре свега опоравку инвестиционе активности и расту животног стандарда ста</w:t>
      </w:r>
      <w:r w:rsidR="00EC7E55">
        <w:rPr>
          <w:szCs w:val="24"/>
          <w:lang w:val="ru-RU"/>
        </w:rPr>
        <w:t>н</w:t>
      </w:r>
      <w:r>
        <w:rPr>
          <w:szCs w:val="24"/>
          <w:lang w:val="ru-RU"/>
        </w:rPr>
        <w:t>овништва. Започет инвестициони циклус током 201</w:t>
      </w:r>
      <w:r w:rsidR="008443DA">
        <w:rPr>
          <w:szCs w:val="24"/>
          <w:lang w:val="en-US"/>
        </w:rPr>
        <w:t>6</w:t>
      </w:r>
      <w:r w:rsidR="00EC7E55">
        <w:rPr>
          <w:szCs w:val="24"/>
          <w:lang w:val="ru-RU"/>
        </w:rPr>
        <w:t>.године и у наредним годинама б</w:t>
      </w:r>
      <w:r>
        <w:rPr>
          <w:szCs w:val="24"/>
          <w:lang w:val="ru-RU"/>
        </w:rPr>
        <w:t>иће носећи развојни фактор који ће, уз реструктурирање привреде омогућити даље смањивање унутрашњих и спољних неравнотежа. Даље спровођење реформе јавног сектора и побољшање пословног и инвестиционог окружења омогућиће стварање основе за убрзање раста.</w:t>
      </w:r>
    </w:p>
    <w:p w:rsidR="00ED79CF" w:rsidRDefault="00ED79CF" w:rsidP="00AA6014">
      <w:pPr>
        <w:ind w:firstLine="720"/>
        <w:jc w:val="both"/>
        <w:rPr>
          <w:szCs w:val="24"/>
          <w:lang w:val="ru-RU"/>
        </w:rPr>
      </w:pPr>
      <w:r>
        <w:rPr>
          <w:szCs w:val="24"/>
          <w:lang w:val="ru-RU"/>
        </w:rPr>
        <w:t>Средњорочном макроекономском пројекцијом предвиђен је просечан реални раст БДП од 2,5%. Након седмогодишње стагнације и реалног смањивања потрошње становништва, очекује се скром</w:t>
      </w:r>
      <w:r w:rsidR="00F8389A">
        <w:rPr>
          <w:szCs w:val="24"/>
          <w:lang w:val="ru-RU"/>
        </w:rPr>
        <w:t>ан раст приватне потрошње у 201</w:t>
      </w:r>
      <w:r w:rsidR="00F8389A">
        <w:rPr>
          <w:szCs w:val="24"/>
          <w:lang w:val="en-US"/>
        </w:rPr>
        <w:t>7</w:t>
      </w:r>
      <w:r>
        <w:rPr>
          <w:szCs w:val="24"/>
          <w:lang w:val="ru-RU"/>
        </w:rPr>
        <w:t>.години (0,2%). Фиск</w:t>
      </w:r>
      <w:r w:rsidR="005A0DD3">
        <w:rPr>
          <w:szCs w:val="24"/>
          <w:lang w:val="sr-Cyrl-CS"/>
        </w:rPr>
        <w:t>а</w:t>
      </w:r>
      <w:r w:rsidR="005A0DD3">
        <w:rPr>
          <w:szCs w:val="24"/>
          <w:lang w:val="ru-RU"/>
        </w:rPr>
        <w:t>л</w:t>
      </w:r>
      <w:r>
        <w:rPr>
          <w:szCs w:val="24"/>
          <w:lang w:val="ru-RU"/>
        </w:rPr>
        <w:t>ни простор, обезбеђен снажним структурним прилагођав</w:t>
      </w:r>
      <w:r w:rsidR="008443DA">
        <w:rPr>
          <w:szCs w:val="24"/>
          <w:lang w:val="ru-RU"/>
        </w:rPr>
        <w:t>ањем од 2,5% БДП у 201</w:t>
      </w:r>
      <w:r w:rsidR="008443DA">
        <w:rPr>
          <w:szCs w:val="24"/>
          <w:lang w:val="en-US"/>
        </w:rPr>
        <w:t>6</w:t>
      </w:r>
      <w:r>
        <w:rPr>
          <w:szCs w:val="24"/>
          <w:lang w:val="ru-RU"/>
        </w:rPr>
        <w:t xml:space="preserve">.години, омогућиће благ реални раст државне потрошње од </w:t>
      </w:r>
      <w:r w:rsidR="008443DA">
        <w:rPr>
          <w:szCs w:val="24"/>
          <w:lang w:val="en-US"/>
        </w:rPr>
        <w:t>1,6</w:t>
      </w:r>
      <w:r w:rsidR="008443DA">
        <w:rPr>
          <w:szCs w:val="24"/>
          <w:lang w:val="ru-RU"/>
        </w:rPr>
        <w:t>% у 201</w:t>
      </w:r>
      <w:r w:rsidR="008443DA">
        <w:rPr>
          <w:szCs w:val="24"/>
          <w:lang w:val="en-US"/>
        </w:rPr>
        <w:t>7</w:t>
      </w:r>
      <w:r>
        <w:rPr>
          <w:szCs w:val="24"/>
          <w:lang w:val="ru-RU"/>
        </w:rPr>
        <w:t>.години. Бољи фиска</w:t>
      </w:r>
      <w:r w:rsidR="00EC7E55">
        <w:rPr>
          <w:szCs w:val="24"/>
          <w:lang w:val="ru-RU"/>
        </w:rPr>
        <w:t>л</w:t>
      </w:r>
      <w:r>
        <w:rPr>
          <w:szCs w:val="24"/>
          <w:lang w:val="ru-RU"/>
        </w:rPr>
        <w:t>ни резултати од план</w:t>
      </w:r>
      <w:r w:rsidR="00EC7E55">
        <w:rPr>
          <w:szCs w:val="24"/>
          <w:lang w:val="ru-RU"/>
        </w:rPr>
        <w:t>а</w:t>
      </w:r>
      <w:r>
        <w:rPr>
          <w:szCs w:val="24"/>
          <w:lang w:val="ru-RU"/>
        </w:rPr>
        <w:t xml:space="preserve">, </w:t>
      </w:r>
      <w:r w:rsidRPr="00617C66">
        <w:rPr>
          <w:b/>
          <w:szCs w:val="24"/>
          <w:lang w:val="ru-RU"/>
        </w:rPr>
        <w:t>делом ће се к</w:t>
      </w:r>
      <w:r w:rsidR="00EC7E55" w:rsidRPr="00617C66">
        <w:rPr>
          <w:b/>
          <w:szCs w:val="24"/>
          <w:lang w:val="ru-RU"/>
        </w:rPr>
        <w:t>о</w:t>
      </w:r>
      <w:r w:rsidRPr="00617C66">
        <w:rPr>
          <w:b/>
          <w:szCs w:val="24"/>
          <w:lang w:val="ru-RU"/>
        </w:rPr>
        <w:t>ри</w:t>
      </w:r>
      <w:r w:rsidR="00EC7E55" w:rsidRPr="00617C66">
        <w:rPr>
          <w:b/>
          <w:szCs w:val="24"/>
          <w:lang w:val="ru-RU"/>
        </w:rPr>
        <w:t>с</w:t>
      </w:r>
      <w:r w:rsidRPr="00617C66">
        <w:rPr>
          <w:b/>
          <w:szCs w:val="24"/>
          <w:lang w:val="ru-RU"/>
        </w:rPr>
        <w:t>тити за циљано повећање плата и пензија и сужавање јаза у платама сектора државе</w:t>
      </w:r>
      <w:r>
        <w:rPr>
          <w:szCs w:val="24"/>
          <w:lang w:val="ru-RU"/>
        </w:rPr>
        <w:t>. Предвиђено смањење броја запослених од 5% у јавном сектору током 2017.године утицаће на смањење државне потрошње и њен реални пад од 2,9%.</w:t>
      </w:r>
    </w:p>
    <w:p w:rsidR="00ED79CF" w:rsidRDefault="003568EC" w:rsidP="00AA6014">
      <w:pPr>
        <w:ind w:firstLine="720"/>
        <w:jc w:val="both"/>
        <w:rPr>
          <w:szCs w:val="24"/>
          <w:lang w:val="ru-RU"/>
        </w:rPr>
      </w:pPr>
      <w:r>
        <w:rPr>
          <w:szCs w:val="24"/>
          <w:lang w:val="ru-RU"/>
        </w:rPr>
        <w:lastRenderedPageBreak/>
        <w:t>Међугоди</w:t>
      </w:r>
      <w:r w:rsidR="00F8389A">
        <w:rPr>
          <w:szCs w:val="24"/>
          <w:lang w:val="ru-RU"/>
        </w:rPr>
        <w:t>шња инфлација ће до средине 201</w:t>
      </w:r>
      <w:r w:rsidR="00F8389A">
        <w:rPr>
          <w:szCs w:val="24"/>
          <w:lang w:val="en-US"/>
        </w:rPr>
        <w:t>7</w:t>
      </w:r>
      <w:r>
        <w:rPr>
          <w:szCs w:val="24"/>
          <w:lang w:val="ru-RU"/>
        </w:rPr>
        <w:t>.године остати ниска и кретаће се око доње границе дозвољеног одступања од циља, а у другој</w:t>
      </w:r>
      <w:r w:rsidR="00BE04CB">
        <w:rPr>
          <w:szCs w:val="24"/>
          <w:lang w:val="ru-RU"/>
        </w:rPr>
        <w:t xml:space="preserve"> поло</w:t>
      </w:r>
      <w:r w:rsidR="000237A3">
        <w:rPr>
          <w:szCs w:val="24"/>
          <w:lang w:val="ru-RU"/>
        </w:rPr>
        <w:t>вини 2017</w:t>
      </w:r>
      <w:r w:rsidR="00BE04CB">
        <w:rPr>
          <w:szCs w:val="24"/>
          <w:lang w:val="ru-RU"/>
        </w:rPr>
        <w:t>.очекује с</w:t>
      </w:r>
      <w:r w:rsidR="007377F6">
        <w:rPr>
          <w:szCs w:val="24"/>
          <w:lang w:val="ru-RU"/>
        </w:rPr>
        <w:t>е њено постепено приближавање ци</w:t>
      </w:r>
      <w:r w:rsidR="008443DA">
        <w:rPr>
          <w:szCs w:val="24"/>
          <w:lang w:val="ru-RU"/>
        </w:rPr>
        <w:t xml:space="preserve">љу од </w:t>
      </w:r>
      <w:r w:rsidR="008443DA">
        <w:rPr>
          <w:szCs w:val="24"/>
          <w:lang w:val="en-US"/>
        </w:rPr>
        <w:t>3</w:t>
      </w:r>
      <w:r w:rsidR="00BE04CB">
        <w:rPr>
          <w:szCs w:val="24"/>
          <w:lang w:val="ru-RU"/>
        </w:rPr>
        <w:t>,0% након чега би требало да настави да се креће у границама циља.</w:t>
      </w:r>
    </w:p>
    <w:p w:rsidR="00BE04CB" w:rsidRDefault="008443DA" w:rsidP="00AA6014">
      <w:pPr>
        <w:ind w:firstLine="720"/>
        <w:jc w:val="both"/>
        <w:rPr>
          <w:szCs w:val="24"/>
          <w:lang w:val="ru-RU"/>
        </w:rPr>
      </w:pPr>
      <w:r>
        <w:rPr>
          <w:szCs w:val="24"/>
          <w:lang w:val="ru-RU"/>
        </w:rPr>
        <w:t>Након што су у већем делу 201</w:t>
      </w:r>
      <w:r w:rsidR="000237A3">
        <w:rPr>
          <w:szCs w:val="24"/>
          <w:lang w:val="sr-Cyrl-CS"/>
        </w:rPr>
        <w:t>7</w:t>
      </w:r>
      <w:r w:rsidR="00BE04CB">
        <w:rPr>
          <w:szCs w:val="24"/>
          <w:lang w:val="ru-RU"/>
        </w:rPr>
        <w:t>.године регулисане цене бележиле негативне м.г.стопе раста, у наредном периоду оне би требало да буду у позитивној зони. У оквиру тих цена, н</w:t>
      </w:r>
      <w:r>
        <w:rPr>
          <w:szCs w:val="24"/>
          <w:lang w:val="ru-RU"/>
        </w:rPr>
        <w:t>ајвећи допринос инфлације у 201</w:t>
      </w:r>
      <w:r>
        <w:rPr>
          <w:szCs w:val="24"/>
          <w:lang w:val="en-US"/>
        </w:rPr>
        <w:t>7</w:t>
      </w:r>
      <w:r w:rsidR="00BE04CB">
        <w:rPr>
          <w:szCs w:val="24"/>
          <w:lang w:val="ru-RU"/>
        </w:rPr>
        <w:t>.години очекује се од цена електричне енергије и цигарета, по основу раније утврђеног повећања акциза. Међутим, раст регулисаних цена у периоду пројекције требало би да остане знатно нижи у односу на просек претходних година и да износи око 5,0% годишње.</w:t>
      </w:r>
    </w:p>
    <w:p w:rsidR="00BE04CB" w:rsidRDefault="00BE04CB" w:rsidP="00AA6014">
      <w:pPr>
        <w:ind w:firstLine="720"/>
        <w:jc w:val="both"/>
        <w:rPr>
          <w:szCs w:val="24"/>
          <w:lang w:val="ru-RU"/>
        </w:rPr>
      </w:pPr>
      <w:r>
        <w:rPr>
          <w:szCs w:val="24"/>
          <w:lang w:val="ru-RU"/>
        </w:rPr>
        <w:t xml:space="preserve">Такође, </w:t>
      </w:r>
      <w:r w:rsidRPr="00E57267">
        <w:rPr>
          <w:b/>
          <w:szCs w:val="24"/>
          <w:lang w:val="ru-RU"/>
        </w:rPr>
        <w:t>у склопу реформе јавне управе</w:t>
      </w:r>
      <w:r>
        <w:rPr>
          <w:szCs w:val="24"/>
          <w:lang w:val="ru-RU"/>
        </w:rPr>
        <w:t>, усвојиће се законска решења којим се уређује систем зарада у сектору државе, сис</w:t>
      </w:r>
      <w:r w:rsidR="007377F6">
        <w:rPr>
          <w:szCs w:val="24"/>
          <w:lang w:val="ru-RU"/>
        </w:rPr>
        <w:t>т</w:t>
      </w:r>
      <w:r>
        <w:rPr>
          <w:szCs w:val="24"/>
          <w:lang w:val="ru-RU"/>
        </w:rPr>
        <w:t>ем платних разреда, унапређење регистра запослених у јавном сектору, каталогизација радних места, одређивање максималног броја запослених и план смањења односно отпимизације стурктуре запослених у сектору државе.</w:t>
      </w:r>
    </w:p>
    <w:p w:rsidR="00BE04CB" w:rsidRDefault="00BE04CB" w:rsidP="00AA6014">
      <w:pPr>
        <w:ind w:firstLine="720"/>
        <w:jc w:val="both"/>
        <w:rPr>
          <w:szCs w:val="24"/>
          <w:lang w:val="ru-RU"/>
        </w:rPr>
      </w:pPr>
      <w:r>
        <w:rPr>
          <w:szCs w:val="24"/>
          <w:lang w:val="ru-RU"/>
        </w:rPr>
        <w:t>Део мера фиска</w:t>
      </w:r>
      <w:r w:rsidR="007377F6">
        <w:rPr>
          <w:szCs w:val="24"/>
          <w:lang w:val="ru-RU"/>
        </w:rPr>
        <w:t>л</w:t>
      </w:r>
      <w:r>
        <w:rPr>
          <w:szCs w:val="24"/>
          <w:lang w:val="ru-RU"/>
        </w:rPr>
        <w:t>не консолидације није спроведен, или се спроводи успорено,</w:t>
      </w:r>
      <w:r w:rsidR="007377F6">
        <w:rPr>
          <w:szCs w:val="24"/>
          <w:lang w:val="ru-RU"/>
        </w:rPr>
        <w:t xml:space="preserve"> </w:t>
      </w:r>
      <w:r>
        <w:rPr>
          <w:szCs w:val="24"/>
          <w:lang w:val="ru-RU"/>
        </w:rPr>
        <w:t>те се део расхода планиран за њ</w:t>
      </w:r>
      <w:r w:rsidR="007377F6">
        <w:rPr>
          <w:szCs w:val="24"/>
          <w:lang w:val="ru-RU"/>
        </w:rPr>
        <w:t>и</w:t>
      </w:r>
      <w:r>
        <w:rPr>
          <w:szCs w:val="24"/>
          <w:lang w:val="ru-RU"/>
        </w:rPr>
        <w:t>хово спровођење није реализовао. Ово се, пре свега, односи на исплату отпремнина у оквиру рационализације јавног сектора.</w:t>
      </w:r>
    </w:p>
    <w:p w:rsidR="00BE04CB" w:rsidRDefault="00BE04CB" w:rsidP="00AA6014">
      <w:pPr>
        <w:ind w:firstLine="720"/>
        <w:jc w:val="both"/>
        <w:rPr>
          <w:szCs w:val="24"/>
          <w:lang w:val="ru-RU"/>
        </w:rPr>
      </w:pPr>
      <w:r>
        <w:rPr>
          <w:szCs w:val="24"/>
          <w:lang w:val="ru-RU"/>
        </w:rPr>
        <w:t xml:space="preserve">Маса плата ће бити мања за 3% у 2016.години у </w:t>
      </w:r>
      <w:r w:rsidR="007377F6">
        <w:rPr>
          <w:szCs w:val="24"/>
          <w:lang w:val="ru-RU"/>
        </w:rPr>
        <w:t>о</w:t>
      </w:r>
      <w:r>
        <w:rPr>
          <w:szCs w:val="24"/>
          <w:lang w:val="ru-RU"/>
        </w:rPr>
        <w:t>дносу на 2015.годину, а за 2017.год</w:t>
      </w:r>
      <w:r w:rsidR="007377F6">
        <w:rPr>
          <w:szCs w:val="24"/>
          <w:lang w:val="ru-RU"/>
        </w:rPr>
        <w:t>и</w:t>
      </w:r>
      <w:r>
        <w:rPr>
          <w:szCs w:val="24"/>
          <w:lang w:val="ru-RU"/>
        </w:rPr>
        <w:t>ну предвиђено је смањење броја запослених за још 5%. У 2018.години није предвиђено додатно смањење броја запослених, али ће постојати пренети ефекти рационализације из 2017.године. У 2018.години, такође нису предвиђена средства за отпремнине за разлику од претходних година.</w:t>
      </w:r>
    </w:p>
    <w:p w:rsidR="00BE04CB" w:rsidRDefault="00BE04CB" w:rsidP="00AA6014">
      <w:pPr>
        <w:ind w:firstLine="720"/>
        <w:jc w:val="both"/>
        <w:rPr>
          <w:szCs w:val="24"/>
          <w:lang w:val="ru-RU"/>
        </w:rPr>
      </w:pPr>
      <w:r>
        <w:rPr>
          <w:szCs w:val="24"/>
          <w:lang w:val="ru-RU"/>
        </w:rPr>
        <w:t>Општи  циљеви реформе система плата у јавном сектору су: смањење неједнакости у платама, односно стварање правичности кроз увођење принципа једанака</w:t>
      </w:r>
      <w:r w:rsidR="007377F6">
        <w:rPr>
          <w:szCs w:val="24"/>
          <w:lang w:val="ru-RU"/>
        </w:rPr>
        <w:t xml:space="preserve"> </w:t>
      </w:r>
      <w:r>
        <w:rPr>
          <w:szCs w:val="24"/>
          <w:lang w:val="ru-RU"/>
        </w:rPr>
        <w:t>плата за једнак рад, јачање контроле буџета и управљивост масом плата и повећање транспарентности система. Поред тога, шири циљ реформе ја</w:t>
      </w:r>
      <w:r w:rsidR="007377F6">
        <w:rPr>
          <w:szCs w:val="24"/>
          <w:lang w:val="ru-RU"/>
        </w:rPr>
        <w:t>в</w:t>
      </w:r>
      <w:r>
        <w:rPr>
          <w:szCs w:val="24"/>
          <w:lang w:val="ru-RU"/>
        </w:rPr>
        <w:t>не управе у чији контекст се смешта реформа плата јесте и јачање учинка и делотворности јавне управе. Подаци у Регистру запослених ће бити допуњени називима и описом послова из каталога радних места и звања у јавном сектору (по областима). Каталози представљају попис, класификацију и вредновање радних места, што је један од најважнијих корака у спровођењу реформе платног система.</w:t>
      </w:r>
    </w:p>
    <w:p w:rsidR="00BE04CB" w:rsidRDefault="00BE04CB" w:rsidP="00AA6014">
      <w:pPr>
        <w:ind w:firstLine="720"/>
        <w:jc w:val="both"/>
        <w:rPr>
          <w:szCs w:val="24"/>
          <w:lang w:val="ru-RU"/>
        </w:rPr>
      </w:pPr>
      <w:r>
        <w:rPr>
          <w:szCs w:val="24"/>
          <w:lang w:val="ru-RU"/>
        </w:rPr>
        <w:t>Основни циљеви економске и фиска</w:t>
      </w:r>
      <w:r w:rsidR="007377F6">
        <w:rPr>
          <w:szCs w:val="24"/>
          <w:lang w:val="ru-RU"/>
        </w:rPr>
        <w:t>л</w:t>
      </w:r>
      <w:r>
        <w:rPr>
          <w:szCs w:val="24"/>
          <w:lang w:val="ru-RU"/>
        </w:rPr>
        <w:t>не политике Владе у наредном трогодишњем периоду су:</w:t>
      </w:r>
    </w:p>
    <w:p w:rsidR="00BE04CB" w:rsidRDefault="00791F87" w:rsidP="00AA6014">
      <w:pPr>
        <w:ind w:firstLine="720"/>
        <w:jc w:val="both"/>
        <w:rPr>
          <w:szCs w:val="24"/>
          <w:lang w:val="ru-RU"/>
        </w:rPr>
      </w:pPr>
      <w:r>
        <w:rPr>
          <w:szCs w:val="24"/>
          <w:lang w:val="ru-RU"/>
        </w:rPr>
        <w:tab/>
        <w:t>- одржавање макроекономске политике стабилности,</w:t>
      </w:r>
    </w:p>
    <w:p w:rsidR="00791F87" w:rsidRDefault="00791F87" w:rsidP="00AA6014">
      <w:pPr>
        <w:ind w:firstLine="720"/>
        <w:jc w:val="both"/>
        <w:rPr>
          <w:szCs w:val="24"/>
          <w:lang w:val="ru-RU"/>
        </w:rPr>
      </w:pPr>
      <w:r>
        <w:rPr>
          <w:szCs w:val="24"/>
          <w:lang w:val="ru-RU"/>
        </w:rPr>
        <w:tab/>
        <w:t>- заустављање даљег раста дуга и успостављање тренда његовог смањења,</w:t>
      </w:r>
    </w:p>
    <w:p w:rsidR="00333356" w:rsidRDefault="00791F87" w:rsidP="00791F87">
      <w:pPr>
        <w:ind w:left="1440"/>
        <w:jc w:val="both"/>
        <w:rPr>
          <w:szCs w:val="24"/>
          <w:lang w:val="en-US"/>
        </w:rPr>
      </w:pPr>
      <w:r>
        <w:rPr>
          <w:szCs w:val="24"/>
          <w:lang w:val="ru-RU"/>
        </w:rPr>
        <w:t>-</w:t>
      </w:r>
      <w:r w:rsidR="00333356">
        <w:rPr>
          <w:szCs w:val="24"/>
          <w:lang w:val="en-US"/>
        </w:rPr>
        <w:t xml:space="preserve"> </w:t>
      </w:r>
      <w:r>
        <w:rPr>
          <w:szCs w:val="24"/>
          <w:lang w:val="ru-RU"/>
        </w:rPr>
        <w:t xml:space="preserve">наставак примене структурних реформи, посебно у домену јавних </w:t>
      </w:r>
      <w:r w:rsidR="00333356">
        <w:rPr>
          <w:szCs w:val="24"/>
          <w:lang w:val="en-US"/>
        </w:rPr>
        <w:t xml:space="preserve">  </w:t>
      </w:r>
    </w:p>
    <w:p w:rsidR="00791F87" w:rsidRDefault="00333356" w:rsidP="00791F87">
      <w:pPr>
        <w:ind w:left="1440"/>
        <w:jc w:val="both"/>
        <w:rPr>
          <w:szCs w:val="24"/>
          <w:lang w:val="ru-RU"/>
        </w:rPr>
      </w:pPr>
      <w:r>
        <w:rPr>
          <w:szCs w:val="24"/>
          <w:lang w:val="en-US"/>
        </w:rPr>
        <w:t xml:space="preserve">  </w:t>
      </w:r>
      <w:r w:rsidR="00791F87">
        <w:rPr>
          <w:szCs w:val="24"/>
          <w:lang w:val="ru-RU"/>
        </w:rPr>
        <w:t>предузећа, као и подизање ефикасности јавног сектора.</w:t>
      </w:r>
    </w:p>
    <w:p w:rsidR="00ED79CF" w:rsidRDefault="00ED79CF" w:rsidP="00E57267">
      <w:pPr>
        <w:jc w:val="both"/>
        <w:rPr>
          <w:szCs w:val="24"/>
          <w:lang w:val="ru-RU"/>
        </w:rPr>
      </w:pPr>
    </w:p>
    <w:p w:rsidR="00AA6014" w:rsidRDefault="00AA6014" w:rsidP="00AA6014">
      <w:pPr>
        <w:ind w:firstLine="720"/>
        <w:jc w:val="both"/>
        <w:rPr>
          <w:szCs w:val="24"/>
          <w:lang w:val="ru-RU"/>
        </w:rPr>
      </w:pPr>
      <w:r>
        <w:rPr>
          <w:szCs w:val="24"/>
          <w:lang w:val="ru-RU"/>
        </w:rPr>
        <w:t xml:space="preserve">Имајући у виду да је законски рок да локални орган надлежан за финансије буџетским корисницима достави Упутство за припрему нацрта буџета 1. </w:t>
      </w:r>
      <w:r w:rsidR="00BE04CB">
        <w:rPr>
          <w:szCs w:val="24"/>
          <w:lang w:val="ru-RU"/>
        </w:rPr>
        <w:t>а</w:t>
      </w:r>
      <w:r>
        <w:rPr>
          <w:szCs w:val="24"/>
          <w:lang w:val="ru-RU"/>
        </w:rPr>
        <w:t>вгуста 201</w:t>
      </w:r>
      <w:r w:rsidR="008443DA">
        <w:rPr>
          <w:szCs w:val="24"/>
          <w:lang w:val="en-US"/>
        </w:rPr>
        <w:t>8</w:t>
      </w:r>
      <w:r>
        <w:rPr>
          <w:szCs w:val="24"/>
          <w:lang w:val="ru-RU"/>
        </w:rPr>
        <w:t xml:space="preserve">.године, приступило се његовој изради полазећи од </w:t>
      </w:r>
      <w:r w:rsidR="008443DA">
        <w:rPr>
          <w:szCs w:val="24"/>
          <w:lang w:val="ru-RU"/>
        </w:rPr>
        <w:t>Фискалне стратегије за 201</w:t>
      </w:r>
      <w:r w:rsidR="008443DA">
        <w:rPr>
          <w:szCs w:val="24"/>
          <w:lang w:val="en-US"/>
        </w:rPr>
        <w:t>7</w:t>
      </w:r>
      <w:r w:rsidR="007377F6">
        <w:rPr>
          <w:szCs w:val="24"/>
          <w:lang w:val="ru-RU"/>
        </w:rPr>
        <w:t>.годину са</w:t>
      </w:r>
      <w:r w:rsidRPr="00F35F64">
        <w:rPr>
          <w:b/>
          <w:szCs w:val="24"/>
          <w:lang w:val="ru-RU"/>
        </w:rPr>
        <w:t xml:space="preserve"> </w:t>
      </w:r>
      <w:r w:rsidRPr="007377F6">
        <w:rPr>
          <w:szCs w:val="24"/>
          <w:lang w:val="ru-RU"/>
        </w:rPr>
        <w:t>пројекција</w:t>
      </w:r>
      <w:r w:rsidR="007377F6" w:rsidRPr="007377F6">
        <w:rPr>
          <w:szCs w:val="24"/>
          <w:lang w:val="ru-RU"/>
        </w:rPr>
        <w:t>ма</w:t>
      </w:r>
      <w:r w:rsidRPr="007377F6">
        <w:rPr>
          <w:szCs w:val="24"/>
          <w:lang w:val="ru-RU"/>
        </w:rPr>
        <w:t xml:space="preserve"> за 201</w:t>
      </w:r>
      <w:r w:rsidR="008443DA">
        <w:rPr>
          <w:szCs w:val="24"/>
          <w:lang w:val="en-US"/>
        </w:rPr>
        <w:t>8</w:t>
      </w:r>
      <w:r w:rsidRPr="007377F6">
        <w:rPr>
          <w:szCs w:val="24"/>
          <w:lang w:val="ru-RU"/>
        </w:rPr>
        <w:t xml:space="preserve">. </w:t>
      </w:r>
      <w:r w:rsidR="00C43B25" w:rsidRPr="007377F6">
        <w:rPr>
          <w:szCs w:val="24"/>
          <w:lang w:val="ru-RU"/>
        </w:rPr>
        <w:t>и</w:t>
      </w:r>
      <w:r w:rsidRPr="007377F6">
        <w:rPr>
          <w:szCs w:val="24"/>
          <w:lang w:val="ru-RU"/>
        </w:rPr>
        <w:t xml:space="preserve"> 201</w:t>
      </w:r>
      <w:r w:rsidR="008443DA">
        <w:rPr>
          <w:szCs w:val="24"/>
          <w:lang w:val="en-US"/>
        </w:rPr>
        <w:t>9</w:t>
      </w:r>
      <w:r w:rsidRPr="007377F6">
        <w:rPr>
          <w:szCs w:val="24"/>
          <w:lang w:val="ru-RU"/>
        </w:rPr>
        <w:t>.годину</w:t>
      </w:r>
      <w:r>
        <w:rPr>
          <w:szCs w:val="24"/>
          <w:lang w:val="ru-RU"/>
        </w:rPr>
        <w:t>.</w:t>
      </w:r>
    </w:p>
    <w:p w:rsidR="00AA6014" w:rsidRDefault="00E57267" w:rsidP="00AA6014">
      <w:pPr>
        <w:ind w:firstLine="720"/>
        <w:jc w:val="both"/>
        <w:rPr>
          <w:szCs w:val="24"/>
          <w:lang w:val="ru-RU"/>
        </w:rPr>
      </w:pPr>
      <w:r>
        <w:rPr>
          <w:szCs w:val="24"/>
          <w:lang w:val="ru-RU"/>
        </w:rPr>
        <w:t>Законом о буџетском систему дефинисано је да фисклани дефицит локалне власти може настати само као резултат јавних инвестиција и не може бити већи од 10% њених прихода у тој години. За одобрење фискланог дефицита изнад наведеног износа, само уколико је оно резултат реализације инвестиција, извршни орган локалне власти може да поднесе захтев Министарству финансија најкасније до 1.маја текуће године за наредну буџетску годину.</w:t>
      </w:r>
    </w:p>
    <w:p w:rsidR="00C44B52" w:rsidRDefault="00C44B52" w:rsidP="00E57267">
      <w:pPr>
        <w:jc w:val="both"/>
        <w:rPr>
          <w:szCs w:val="24"/>
          <w:lang w:val="ru-RU"/>
        </w:rPr>
      </w:pPr>
    </w:p>
    <w:p w:rsidR="00C44B52" w:rsidRDefault="00C44B52" w:rsidP="00AA6014">
      <w:pPr>
        <w:ind w:firstLine="720"/>
        <w:jc w:val="both"/>
        <w:rPr>
          <w:szCs w:val="24"/>
          <w:lang w:val="ru-RU"/>
        </w:rPr>
      </w:pPr>
      <w:r>
        <w:rPr>
          <w:szCs w:val="24"/>
          <w:lang w:val="ru-RU"/>
        </w:rPr>
        <w:t>Посебна фискална правила обезбеђују да се смањење фиска</w:t>
      </w:r>
      <w:r w:rsidR="00702606">
        <w:rPr>
          <w:szCs w:val="24"/>
          <w:lang w:val="ru-RU"/>
        </w:rPr>
        <w:t>л</w:t>
      </w:r>
      <w:r>
        <w:rPr>
          <w:szCs w:val="24"/>
          <w:lang w:val="ru-RU"/>
        </w:rPr>
        <w:t>ног дефицита у односу на БДП, највећим делом оствари преко смањења текућих јавних расхода. Циљ посебних правила је и да се промени структура јавне потрошње у правцу смањења текућих расхода и повећања јавних инвестиција.</w:t>
      </w:r>
    </w:p>
    <w:p w:rsidR="00C44B52" w:rsidRDefault="00C44B52" w:rsidP="00AA6014">
      <w:pPr>
        <w:ind w:firstLine="720"/>
        <w:jc w:val="both"/>
        <w:rPr>
          <w:szCs w:val="24"/>
          <w:lang w:val="ru-RU"/>
        </w:rPr>
      </w:pPr>
    </w:p>
    <w:p w:rsidR="00C44B52" w:rsidRDefault="00C44B52" w:rsidP="00AA6014">
      <w:pPr>
        <w:ind w:firstLine="720"/>
        <w:jc w:val="both"/>
        <w:rPr>
          <w:szCs w:val="24"/>
          <w:lang w:val="ru-RU"/>
        </w:rPr>
      </w:pPr>
      <w:r>
        <w:rPr>
          <w:szCs w:val="24"/>
          <w:lang w:val="ru-RU"/>
        </w:rPr>
        <w:t xml:space="preserve">Приликом припреме предлога финансијски планова треба имати у виду </w:t>
      </w:r>
      <w:r w:rsidR="0083438B">
        <w:rPr>
          <w:szCs w:val="24"/>
          <w:lang w:val="ru-RU"/>
        </w:rPr>
        <w:t>Уредбу</w:t>
      </w:r>
      <w:r>
        <w:rPr>
          <w:szCs w:val="24"/>
          <w:lang w:val="ru-RU"/>
        </w:rPr>
        <w:t xml:space="preserve"> Влад</w:t>
      </w:r>
      <w:r w:rsidR="0083438B">
        <w:rPr>
          <w:szCs w:val="24"/>
          <w:lang w:val="ru-RU"/>
        </w:rPr>
        <w:t>е</w:t>
      </w:r>
      <w:r>
        <w:rPr>
          <w:szCs w:val="24"/>
          <w:lang w:val="ru-RU"/>
        </w:rPr>
        <w:t xml:space="preserve"> Републике Србије о привременој обустави припадајућег дела пореза на зараде, односа преноса трансферних средстава из буџета Републике Србије локалној самоуправи 5. </w:t>
      </w:r>
      <w:r w:rsidR="00702606">
        <w:rPr>
          <w:szCs w:val="24"/>
          <w:lang w:val="ru-RU"/>
        </w:rPr>
        <w:t>ј</w:t>
      </w:r>
      <w:r>
        <w:rPr>
          <w:szCs w:val="24"/>
          <w:lang w:val="ru-RU"/>
        </w:rPr>
        <w:t>уна 2013.године. Овом Уредбом се уређује поступак привремене обуставе припадајућег дела пореза на зараде, односа преноса трансферних средстава из буџета Републике Србије локалној самоуправи у случајевима да се зараде не исплаћују, или да се не спроводи политика запошљавања у складу са утврђеним програмима јавних предузећа, односно ако се установи да нису испоштовани рокови за измирење обавеза према привредним субјектима утв</w:t>
      </w:r>
      <w:r w:rsidR="00702606">
        <w:rPr>
          <w:szCs w:val="24"/>
          <w:lang w:val="ru-RU"/>
        </w:rPr>
        <w:t>р</w:t>
      </w:r>
      <w:r>
        <w:rPr>
          <w:szCs w:val="24"/>
          <w:lang w:val="ru-RU"/>
        </w:rPr>
        <w:t>ђеним законом којим се уређују рокови измирења новчаних обавеза у комерцијалним трансакцијама.</w:t>
      </w:r>
    </w:p>
    <w:p w:rsidR="005601B5" w:rsidRDefault="005601B5" w:rsidP="00AA6014">
      <w:pPr>
        <w:ind w:firstLine="720"/>
        <w:jc w:val="both"/>
        <w:rPr>
          <w:szCs w:val="24"/>
          <w:lang w:val="ru-RU"/>
        </w:rPr>
      </w:pPr>
    </w:p>
    <w:p w:rsidR="005601B5" w:rsidRDefault="005601B5" w:rsidP="00AA6014">
      <w:pPr>
        <w:ind w:firstLine="720"/>
        <w:jc w:val="both"/>
        <w:rPr>
          <w:b/>
          <w:szCs w:val="24"/>
          <w:lang w:val="ru-RU"/>
        </w:rPr>
      </w:pPr>
      <w:r w:rsidRPr="005601B5">
        <w:rPr>
          <w:b/>
          <w:szCs w:val="24"/>
          <w:lang w:val="ru-RU"/>
        </w:rPr>
        <w:t xml:space="preserve">Пројекција основних макроекономских показатеља Републике </w:t>
      </w:r>
      <w:r>
        <w:rPr>
          <w:b/>
          <w:szCs w:val="24"/>
          <w:lang w:val="ru-RU"/>
        </w:rPr>
        <w:t>С</w:t>
      </w:r>
      <w:r w:rsidRPr="005601B5">
        <w:rPr>
          <w:b/>
          <w:szCs w:val="24"/>
          <w:lang w:val="ru-RU"/>
        </w:rPr>
        <w:t xml:space="preserve">рбије преузета из Фискалне </w:t>
      </w:r>
      <w:r w:rsidR="00AD7C8B">
        <w:rPr>
          <w:b/>
          <w:szCs w:val="24"/>
          <w:lang w:val="ru-RU"/>
        </w:rPr>
        <w:t>стратегије за 201</w:t>
      </w:r>
      <w:r w:rsidR="00AD7C8B">
        <w:rPr>
          <w:b/>
          <w:szCs w:val="24"/>
          <w:lang w:val="en-US"/>
        </w:rPr>
        <w:t>7</w:t>
      </w:r>
      <w:r w:rsidR="00AD7C8B">
        <w:rPr>
          <w:b/>
          <w:szCs w:val="24"/>
          <w:lang w:val="ru-RU"/>
        </w:rPr>
        <w:t>.са пројекцијама за 201</w:t>
      </w:r>
      <w:r w:rsidR="00AD7C8B">
        <w:rPr>
          <w:b/>
          <w:szCs w:val="24"/>
          <w:lang w:val="en-US"/>
        </w:rPr>
        <w:t>8</w:t>
      </w:r>
      <w:r w:rsidR="00AD7C8B">
        <w:rPr>
          <w:b/>
          <w:szCs w:val="24"/>
          <w:lang w:val="ru-RU"/>
        </w:rPr>
        <w:t>. и 201</w:t>
      </w:r>
      <w:r w:rsidR="00AD7C8B">
        <w:rPr>
          <w:b/>
          <w:szCs w:val="24"/>
          <w:lang w:val="en-US"/>
        </w:rPr>
        <w:t>9</w:t>
      </w:r>
      <w:r w:rsidRPr="005601B5">
        <w:rPr>
          <w:b/>
          <w:szCs w:val="24"/>
          <w:lang w:val="ru-RU"/>
        </w:rPr>
        <w:t>.г.</w:t>
      </w:r>
    </w:p>
    <w:p w:rsidR="005601B5" w:rsidRDefault="005601B5" w:rsidP="00AA6014">
      <w:pPr>
        <w:ind w:firstLine="720"/>
        <w:jc w:val="both"/>
        <w:rPr>
          <w:b/>
          <w:szCs w:val="24"/>
          <w:lang w:val="ru-RU"/>
        </w:rPr>
      </w:pPr>
    </w:p>
    <w:tbl>
      <w:tblPr>
        <w:tblStyle w:val="TableGrid"/>
        <w:tblW w:w="0" w:type="auto"/>
        <w:tblLook w:val="04A0"/>
      </w:tblPr>
      <w:tblGrid>
        <w:gridCol w:w="4968"/>
        <w:gridCol w:w="1710"/>
        <w:gridCol w:w="1440"/>
        <w:gridCol w:w="1458"/>
      </w:tblGrid>
      <w:tr w:rsidR="005601B5" w:rsidTr="00B94E0C">
        <w:tc>
          <w:tcPr>
            <w:tcW w:w="4968" w:type="dxa"/>
          </w:tcPr>
          <w:p w:rsidR="005601B5" w:rsidRDefault="005601B5" w:rsidP="00AA6014">
            <w:pPr>
              <w:jc w:val="both"/>
              <w:rPr>
                <w:szCs w:val="24"/>
                <w:lang w:val="ru-RU"/>
              </w:rPr>
            </w:pPr>
          </w:p>
        </w:tc>
        <w:tc>
          <w:tcPr>
            <w:tcW w:w="1710" w:type="dxa"/>
          </w:tcPr>
          <w:p w:rsidR="005601B5" w:rsidRDefault="005601B5" w:rsidP="005601B5">
            <w:pPr>
              <w:jc w:val="center"/>
              <w:rPr>
                <w:szCs w:val="24"/>
                <w:lang w:val="ru-RU"/>
              </w:rPr>
            </w:pPr>
            <w:r>
              <w:rPr>
                <w:szCs w:val="24"/>
                <w:lang w:val="ru-RU"/>
              </w:rPr>
              <w:t>Пројекција</w:t>
            </w:r>
          </w:p>
          <w:p w:rsidR="005601B5" w:rsidRDefault="005601B5" w:rsidP="004818C2">
            <w:pPr>
              <w:jc w:val="center"/>
              <w:rPr>
                <w:szCs w:val="24"/>
                <w:lang w:val="ru-RU"/>
              </w:rPr>
            </w:pPr>
            <w:r>
              <w:rPr>
                <w:szCs w:val="24"/>
                <w:lang w:val="ru-RU"/>
              </w:rPr>
              <w:t>201</w:t>
            </w:r>
            <w:r w:rsidR="00AD7C8B">
              <w:rPr>
                <w:szCs w:val="24"/>
              </w:rPr>
              <w:t>7</w:t>
            </w:r>
            <w:r>
              <w:rPr>
                <w:szCs w:val="24"/>
                <w:lang w:val="ru-RU"/>
              </w:rPr>
              <w:t>.</w:t>
            </w:r>
          </w:p>
        </w:tc>
        <w:tc>
          <w:tcPr>
            <w:tcW w:w="1440" w:type="dxa"/>
          </w:tcPr>
          <w:p w:rsidR="005601B5" w:rsidRDefault="005601B5" w:rsidP="005601B5">
            <w:pPr>
              <w:jc w:val="center"/>
              <w:rPr>
                <w:szCs w:val="24"/>
                <w:lang w:val="ru-RU"/>
              </w:rPr>
            </w:pPr>
            <w:r>
              <w:rPr>
                <w:szCs w:val="24"/>
                <w:lang w:val="ru-RU"/>
              </w:rPr>
              <w:t>Пројекција</w:t>
            </w:r>
          </w:p>
          <w:p w:rsidR="005601B5" w:rsidRDefault="005601B5" w:rsidP="004818C2">
            <w:pPr>
              <w:jc w:val="center"/>
              <w:rPr>
                <w:szCs w:val="24"/>
                <w:lang w:val="ru-RU"/>
              </w:rPr>
            </w:pPr>
            <w:r>
              <w:rPr>
                <w:szCs w:val="24"/>
                <w:lang w:val="ru-RU"/>
              </w:rPr>
              <w:t>201</w:t>
            </w:r>
            <w:r w:rsidR="00AD7C8B">
              <w:rPr>
                <w:szCs w:val="24"/>
              </w:rPr>
              <w:t>8</w:t>
            </w:r>
            <w:r>
              <w:rPr>
                <w:szCs w:val="24"/>
                <w:lang w:val="ru-RU"/>
              </w:rPr>
              <w:t>.</w:t>
            </w:r>
          </w:p>
        </w:tc>
        <w:tc>
          <w:tcPr>
            <w:tcW w:w="1458" w:type="dxa"/>
          </w:tcPr>
          <w:p w:rsidR="005601B5" w:rsidRDefault="005601B5" w:rsidP="005601B5">
            <w:pPr>
              <w:jc w:val="center"/>
              <w:rPr>
                <w:szCs w:val="24"/>
                <w:lang w:val="ru-RU"/>
              </w:rPr>
            </w:pPr>
            <w:r>
              <w:rPr>
                <w:szCs w:val="24"/>
                <w:lang w:val="ru-RU"/>
              </w:rPr>
              <w:t>Пројекција</w:t>
            </w:r>
          </w:p>
          <w:p w:rsidR="005601B5" w:rsidRDefault="005601B5" w:rsidP="004818C2">
            <w:pPr>
              <w:jc w:val="center"/>
              <w:rPr>
                <w:szCs w:val="24"/>
                <w:lang w:val="ru-RU"/>
              </w:rPr>
            </w:pPr>
            <w:r>
              <w:rPr>
                <w:szCs w:val="24"/>
                <w:lang w:val="ru-RU"/>
              </w:rPr>
              <w:t>201</w:t>
            </w:r>
            <w:r w:rsidR="00AD7C8B">
              <w:rPr>
                <w:szCs w:val="24"/>
              </w:rPr>
              <w:t>9</w:t>
            </w:r>
            <w:r>
              <w:rPr>
                <w:szCs w:val="24"/>
                <w:lang w:val="ru-RU"/>
              </w:rPr>
              <w:t>.</w:t>
            </w:r>
          </w:p>
        </w:tc>
      </w:tr>
      <w:tr w:rsidR="005601B5" w:rsidTr="00B94E0C">
        <w:tc>
          <w:tcPr>
            <w:tcW w:w="4968" w:type="dxa"/>
          </w:tcPr>
          <w:p w:rsidR="005601B5" w:rsidRDefault="00B94E0C" w:rsidP="00AA6014">
            <w:pPr>
              <w:jc w:val="both"/>
              <w:rPr>
                <w:szCs w:val="24"/>
                <w:lang w:val="ru-RU"/>
              </w:rPr>
            </w:pPr>
            <w:r>
              <w:rPr>
                <w:szCs w:val="24"/>
                <w:lang w:val="ru-RU"/>
              </w:rPr>
              <w:t>БДП, годишње стопе реалног раста, %</w:t>
            </w:r>
          </w:p>
        </w:tc>
        <w:tc>
          <w:tcPr>
            <w:tcW w:w="1710" w:type="dxa"/>
          </w:tcPr>
          <w:p w:rsidR="005601B5" w:rsidRPr="004818C2" w:rsidRDefault="00AD7C8B" w:rsidP="00021C46">
            <w:pPr>
              <w:jc w:val="center"/>
              <w:rPr>
                <w:szCs w:val="24"/>
              </w:rPr>
            </w:pPr>
            <w:r>
              <w:rPr>
                <w:szCs w:val="24"/>
              </w:rPr>
              <w:t>3,0</w:t>
            </w:r>
          </w:p>
        </w:tc>
        <w:tc>
          <w:tcPr>
            <w:tcW w:w="1440" w:type="dxa"/>
          </w:tcPr>
          <w:p w:rsidR="005601B5" w:rsidRPr="004818C2" w:rsidRDefault="00AD7C8B" w:rsidP="00021C46">
            <w:pPr>
              <w:jc w:val="center"/>
              <w:rPr>
                <w:szCs w:val="24"/>
              </w:rPr>
            </w:pPr>
            <w:r>
              <w:rPr>
                <w:szCs w:val="24"/>
              </w:rPr>
              <w:t>3,5</w:t>
            </w:r>
          </w:p>
        </w:tc>
        <w:tc>
          <w:tcPr>
            <w:tcW w:w="1458" w:type="dxa"/>
          </w:tcPr>
          <w:p w:rsidR="005601B5" w:rsidRPr="004818C2" w:rsidRDefault="004818C2" w:rsidP="00021C46">
            <w:pPr>
              <w:jc w:val="center"/>
              <w:rPr>
                <w:szCs w:val="24"/>
              </w:rPr>
            </w:pPr>
            <w:r>
              <w:rPr>
                <w:szCs w:val="24"/>
              </w:rPr>
              <w:t>3,5</w:t>
            </w:r>
          </w:p>
        </w:tc>
      </w:tr>
      <w:tr w:rsidR="005601B5" w:rsidRPr="00C36A77" w:rsidTr="00B94E0C">
        <w:tc>
          <w:tcPr>
            <w:tcW w:w="4968" w:type="dxa"/>
          </w:tcPr>
          <w:p w:rsidR="005601B5" w:rsidRPr="004818C2" w:rsidRDefault="00B94E0C" w:rsidP="00AA6014">
            <w:pPr>
              <w:jc w:val="both"/>
              <w:rPr>
                <w:szCs w:val="24"/>
                <w:lang w:val="ru-RU"/>
              </w:rPr>
            </w:pPr>
            <w:r w:rsidRPr="004818C2">
              <w:rPr>
                <w:szCs w:val="24"/>
                <w:lang w:val="ru-RU"/>
              </w:rPr>
              <w:t>Реални раст појединих компоненти БДП,%</w:t>
            </w:r>
          </w:p>
        </w:tc>
        <w:tc>
          <w:tcPr>
            <w:tcW w:w="1710" w:type="dxa"/>
          </w:tcPr>
          <w:p w:rsidR="005601B5" w:rsidRDefault="005601B5" w:rsidP="00021C46">
            <w:pPr>
              <w:jc w:val="center"/>
              <w:rPr>
                <w:szCs w:val="24"/>
                <w:lang w:val="ru-RU"/>
              </w:rPr>
            </w:pPr>
          </w:p>
        </w:tc>
        <w:tc>
          <w:tcPr>
            <w:tcW w:w="1440" w:type="dxa"/>
          </w:tcPr>
          <w:p w:rsidR="005601B5" w:rsidRDefault="005601B5" w:rsidP="00021C46">
            <w:pPr>
              <w:jc w:val="center"/>
              <w:rPr>
                <w:szCs w:val="24"/>
                <w:lang w:val="ru-RU"/>
              </w:rPr>
            </w:pPr>
          </w:p>
        </w:tc>
        <w:tc>
          <w:tcPr>
            <w:tcW w:w="1458" w:type="dxa"/>
          </w:tcPr>
          <w:p w:rsidR="005601B5" w:rsidRDefault="005601B5" w:rsidP="00021C46">
            <w:pPr>
              <w:jc w:val="center"/>
              <w:rPr>
                <w:szCs w:val="24"/>
                <w:lang w:val="ru-RU"/>
              </w:rPr>
            </w:pPr>
          </w:p>
        </w:tc>
      </w:tr>
      <w:tr w:rsidR="005601B5" w:rsidTr="00B94E0C">
        <w:tc>
          <w:tcPr>
            <w:tcW w:w="4968" w:type="dxa"/>
          </w:tcPr>
          <w:p w:rsidR="005601B5" w:rsidRDefault="00B94E0C" w:rsidP="00AA6014">
            <w:pPr>
              <w:jc w:val="both"/>
              <w:rPr>
                <w:szCs w:val="24"/>
                <w:lang w:val="ru-RU"/>
              </w:rPr>
            </w:pPr>
            <w:r>
              <w:rPr>
                <w:szCs w:val="24"/>
                <w:lang w:val="ru-RU"/>
              </w:rPr>
              <w:t>Лична потрошња</w:t>
            </w:r>
          </w:p>
        </w:tc>
        <w:tc>
          <w:tcPr>
            <w:tcW w:w="1710" w:type="dxa"/>
          </w:tcPr>
          <w:p w:rsidR="005601B5" w:rsidRPr="004818C2" w:rsidRDefault="00AD7C8B" w:rsidP="004818C2">
            <w:pPr>
              <w:jc w:val="center"/>
              <w:rPr>
                <w:szCs w:val="24"/>
              </w:rPr>
            </w:pPr>
            <w:r>
              <w:rPr>
                <w:szCs w:val="24"/>
              </w:rPr>
              <w:t>1,4</w:t>
            </w:r>
          </w:p>
        </w:tc>
        <w:tc>
          <w:tcPr>
            <w:tcW w:w="1440" w:type="dxa"/>
          </w:tcPr>
          <w:p w:rsidR="005601B5" w:rsidRPr="00AD7C8B" w:rsidRDefault="00AD7C8B" w:rsidP="00021C46">
            <w:pPr>
              <w:jc w:val="center"/>
              <w:rPr>
                <w:szCs w:val="24"/>
                <w:lang w:val="en-US"/>
              </w:rPr>
            </w:pPr>
            <w:r>
              <w:rPr>
                <w:szCs w:val="24"/>
                <w:lang w:val="en-US"/>
              </w:rPr>
              <w:t>2,2</w:t>
            </w:r>
          </w:p>
        </w:tc>
        <w:tc>
          <w:tcPr>
            <w:tcW w:w="1458" w:type="dxa"/>
          </w:tcPr>
          <w:p w:rsidR="005601B5" w:rsidRPr="00553D0E" w:rsidRDefault="00553D0E" w:rsidP="00021C46">
            <w:pPr>
              <w:jc w:val="center"/>
              <w:rPr>
                <w:szCs w:val="24"/>
              </w:rPr>
            </w:pPr>
            <w:r>
              <w:rPr>
                <w:szCs w:val="24"/>
              </w:rPr>
              <w:t>2,</w:t>
            </w:r>
            <w:r w:rsidR="00AD7C8B">
              <w:rPr>
                <w:szCs w:val="24"/>
              </w:rPr>
              <w:t>9</w:t>
            </w:r>
          </w:p>
        </w:tc>
      </w:tr>
      <w:tr w:rsidR="005601B5" w:rsidTr="00B94E0C">
        <w:tc>
          <w:tcPr>
            <w:tcW w:w="4968" w:type="dxa"/>
          </w:tcPr>
          <w:p w:rsidR="005601B5" w:rsidRDefault="00B94E0C" w:rsidP="00AA6014">
            <w:pPr>
              <w:jc w:val="both"/>
              <w:rPr>
                <w:szCs w:val="24"/>
                <w:lang w:val="ru-RU"/>
              </w:rPr>
            </w:pPr>
            <w:r>
              <w:rPr>
                <w:szCs w:val="24"/>
                <w:lang w:val="ru-RU"/>
              </w:rPr>
              <w:t>Државна потрошња</w:t>
            </w:r>
          </w:p>
        </w:tc>
        <w:tc>
          <w:tcPr>
            <w:tcW w:w="1710" w:type="dxa"/>
          </w:tcPr>
          <w:p w:rsidR="005601B5" w:rsidRPr="00553D0E" w:rsidRDefault="00AD7C8B" w:rsidP="00021C46">
            <w:pPr>
              <w:jc w:val="center"/>
              <w:rPr>
                <w:szCs w:val="24"/>
              </w:rPr>
            </w:pPr>
            <w:r>
              <w:rPr>
                <w:szCs w:val="24"/>
              </w:rPr>
              <w:t>1,6</w:t>
            </w:r>
          </w:p>
        </w:tc>
        <w:tc>
          <w:tcPr>
            <w:tcW w:w="1440" w:type="dxa"/>
          </w:tcPr>
          <w:p w:rsidR="005601B5" w:rsidRPr="00AD7C8B" w:rsidRDefault="00AD7C8B" w:rsidP="00553D0E">
            <w:pPr>
              <w:jc w:val="center"/>
              <w:rPr>
                <w:szCs w:val="24"/>
                <w:lang w:val="en-US"/>
              </w:rPr>
            </w:pPr>
            <w:r>
              <w:rPr>
                <w:szCs w:val="24"/>
                <w:lang w:val="en-US"/>
              </w:rPr>
              <w:t>2,6</w:t>
            </w:r>
          </w:p>
        </w:tc>
        <w:tc>
          <w:tcPr>
            <w:tcW w:w="1458" w:type="dxa"/>
          </w:tcPr>
          <w:p w:rsidR="005601B5" w:rsidRPr="00553D0E" w:rsidRDefault="00AD7C8B" w:rsidP="00021C46">
            <w:pPr>
              <w:jc w:val="center"/>
              <w:rPr>
                <w:szCs w:val="24"/>
              </w:rPr>
            </w:pPr>
            <w:r>
              <w:rPr>
                <w:szCs w:val="24"/>
                <w:lang w:val="en-US"/>
              </w:rPr>
              <w:t>2</w:t>
            </w:r>
            <w:r w:rsidR="00553D0E">
              <w:rPr>
                <w:szCs w:val="24"/>
              </w:rPr>
              <w:t>,3</w:t>
            </w:r>
          </w:p>
        </w:tc>
      </w:tr>
      <w:tr w:rsidR="005601B5" w:rsidTr="00B94E0C">
        <w:tc>
          <w:tcPr>
            <w:tcW w:w="4968" w:type="dxa"/>
          </w:tcPr>
          <w:p w:rsidR="005601B5" w:rsidRDefault="00B94E0C" w:rsidP="00AA6014">
            <w:pPr>
              <w:jc w:val="both"/>
              <w:rPr>
                <w:szCs w:val="24"/>
                <w:lang w:val="ru-RU"/>
              </w:rPr>
            </w:pPr>
            <w:r>
              <w:rPr>
                <w:szCs w:val="24"/>
                <w:lang w:val="ru-RU"/>
              </w:rPr>
              <w:t>Инвестиције</w:t>
            </w:r>
          </w:p>
        </w:tc>
        <w:tc>
          <w:tcPr>
            <w:tcW w:w="1710" w:type="dxa"/>
          </w:tcPr>
          <w:p w:rsidR="005601B5" w:rsidRPr="00553D0E" w:rsidRDefault="00AD7C8B" w:rsidP="00021C46">
            <w:pPr>
              <w:jc w:val="center"/>
              <w:rPr>
                <w:szCs w:val="24"/>
              </w:rPr>
            </w:pPr>
            <w:r>
              <w:rPr>
                <w:szCs w:val="24"/>
              </w:rPr>
              <w:t>5,7</w:t>
            </w:r>
          </w:p>
        </w:tc>
        <w:tc>
          <w:tcPr>
            <w:tcW w:w="1440" w:type="dxa"/>
          </w:tcPr>
          <w:p w:rsidR="005601B5" w:rsidRPr="00553D0E" w:rsidRDefault="00AD7C8B" w:rsidP="00021C46">
            <w:pPr>
              <w:jc w:val="center"/>
              <w:rPr>
                <w:szCs w:val="24"/>
              </w:rPr>
            </w:pPr>
            <w:r>
              <w:rPr>
                <w:szCs w:val="24"/>
              </w:rPr>
              <w:t>5,7</w:t>
            </w:r>
          </w:p>
        </w:tc>
        <w:tc>
          <w:tcPr>
            <w:tcW w:w="1458" w:type="dxa"/>
          </w:tcPr>
          <w:p w:rsidR="005601B5" w:rsidRPr="00AD7C8B" w:rsidRDefault="00AD7C8B" w:rsidP="00021C46">
            <w:pPr>
              <w:jc w:val="center"/>
              <w:rPr>
                <w:szCs w:val="24"/>
                <w:lang w:val="en-US"/>
              </w:rPr>
            </w:pPr>
            <w:r>
              <w:rPr>
                <w:szCs w:val="24"/>
                <w:lang w:val="en-US"/>
              </w:rPr>
              <w:t>4,9</w:t>
            </w:r>
          </w:p>
        </w:tc>
      </w:tr>
      <w:tr w:rsidR="00553D0E" w:rsidTr="00553D0E">
        <w:tc>
          <w:tcPr>
            <w:tcW w:w="4968" w:type="dxa"/>
            <w:tcBorders>
              <w:bottom w:val="single" w:sz="4" w:space="0" w:color="000000"/>
            </w:tcBorders>
          </w:tcPr>
          <w:p w:rsidR="00553D0E" w:rsidRDefault="00553D0E" w:rsidP="00CE26F9">
            <w:pPr>
              <w:jc w:val="both"/>
              <w:rPr>
                <w:szCs w:val="24"/>
                <w:lang w:val="ru-RU"/>
              </w:rPr>
            </w:pPr>
            <w:r>
              <w:rPr>
                <w:szCs w:val="24"/>
                <w:lang w:val="ru-RU"/>
              </w:rPr>
              <w:t>Инфлација, просек периода, у %</w:t>
            </w:r>
          </w:p>
        </w:tc>
        <w:tc>
          <w:tcPr>
            <w:tcW w:w="1710" w:type="dxa"/>
            <w:tcBorders>
              <w:bottom w:val="single" w:sz="4" w:space="0" w:color="000000"/>
            </w:tcBorders>
          </w:tcPr>
          <w:p w:rsidR="00553D0E" w:rsidRPr="00553D0E" w:rsidRDefault="00553D0E" w:rsidP="00553D0E">
            <w:pPr>
              <w:jc w:val="center"/>
              <w:rPr>
                <w:szCs w:val="24"/>
              </w:rPr>
            </w:pPr>
            <w:r>
              <w:rPr>
                <w:szCs w:val="24"/>
                <w:lang w:val="ru-RU"/>
              </w:rPr>
              <w:t>2,</w:t>
            </w:r>
            <w:r w:rsidR="00AD7C8B">
              <w:rPr>
                <w:szCs w:val="24"/>
              </w:rPr>
              <w:t>4</w:t>
            </w:r>
          </w:p>
        </w:tc>
        <w:tc>
          <w:tcPr>
            <w:tcW w:w="1440" w:type="dxa"/>
            <w:tcBorders>
              <w:bottom w:val="single" w:sz="4" w:space="0" w:color="000000"/>
            </w:tcBorders>
          </w:tcPr>
          <w:p w:rsidR="00553D0E" w:rsidRPr="00553D0E" w:rsidRDefault="00553D0E" w:rsidP="00CE26F9">
            <w:pPr>
              <w:jc w:val="center"/>
              <w:rPr>
                <w:szCs w:val="24"/>
              </w:rPr>
            </w:pPr>
            <w:r>
              <w:rPr>
                <w:szCs w:val="24"/>
              </w:rPr>
              <w:t>3,</w:t>
            </w:r>
            <w:r w:rsidR="00AD7C8B">
              <w:rPr>
                <w:szCs w:val="24"/>
              </w:rPr>
              <w:t>0</w:t>
            </w:r>
          </w:p>
        </w:tc>
        <w:tc>
          <w:tcPr>
            <w:tcW w:w="1458" w:type="dxa"/>
            <w:tcBorders>
              <w:bottom w:val="single" w:sz="4" w:space="0" w:color="000000"/>
            </w:tcBorders>
          </w:tcPr>
          <w:p w:rsidR="00553D0E" w:rsidRPr="00553D0E" w:rsidRDefault="00553D0E" w:rsidP="00CE26F9">
            <w:pPr>
              <w:jc w:val="center"/>
              <w:rPr>
                <w:szCs w:val="24"/>
              </w:rPr>
            </w:pPr>
            <w:r>
              <w:rPr>
                <w:szCs w:val="24"/>
              </w:rPr>
              <w:t>3,</w:t>
            </w:r>
            <w:r w:rsidR="00AD7C8B">
              <w:rPr>
                <w:szCs w:val="24"/>
              </w:rPr>
              <w:t>0</w:t>
            </w:r>
          </w:p>
        </w:tc>
      </w:tr>
      <w:tr w:rsidR="00553D0E" w:rsidTr="00553D0E">
        <w:tc>
          <w:tcPr>
            <w:tcW w:w="4968" w:type="dxa"/>
            <w:tcBorders>
              <w:left w:val="nil"/>
              <w:bottom w:val="nil"/>
              <w:right w:val="nil"/>
            </w:tcBorders>
          </w:tcPr>
          <w:p w:rsidR="00553D0E" w:rsidRDefault="00553D0E" w:rsidP="00AA6014">
            <w:pPr>
              <w:jc w:val="both"/>
              <w:rPr>
                <w:szCs w:val="24"/>
                <w:lang w:val="ru-RU"/>
              </w:rPr>
            </w:pPr>
          </w:p>
        </w:tc>
        <w:tc>
          <w:tcPr>
            <w:tcW w:w="1710" w:type="dxa"/>
            <w:tcBorders>
              <w:left w:val="nil"/>
              <w:bottom w:val="nil"/>
              <w:right w:val="nil"/>
            </w:tcBorders>
          </w:tcPr>
          <w:p w:rsidR="00553D0E" w:rsidRDefault="00553D0E" w:rsidP="00021C46">
            <w:pPr>
              <w:jc w:val="center"/>
              <w:rPr>
                <w:szCs w:val="24"/>
                <w:lang w:val="ru-RU"/>
              </w:rPr>
            </w:pPr>
          </w:p>
        </w:tc>
        <w:tc>
          <w:tcPr>
            <w:tcW w:w="1440" w:type="dxa"/>
            <w:tcBorders>
              <w:left w:val="nil"/>
              <w:bottom w:val="nil"/>
              <w:right w:val="nil"/>
            </w:tcBorders>
          </w:tcPr>
          <w:p w:rsidR="00553D0E" w:rsidRDefault="00553D0E" w:rsidP="00021C46">
            <w:pPr>
              <w:jc w:val="center"/>
              <w:rPr>
                <w:szCs w:val="24"/>
                <w:lang w:val="ru-RU"/>
              </w:rPr>
            </w:pPr>
          </w:p>
        </w:tc>
        <w:tc>
          <w:tcPr>
            <w:tcW w:w="1458" w:type="dxa"/>
            <w:tcBorders>
              <w:left w:val="nil"/>
              <w:bottom w:val="nil"/>
              <w:right w:val="nil"/>
            </w:tcBorders>
          </w:tcPr>
          <w:p w:rsidR="00553D0E" w:rsidRDefault="00553D0E" w:rsidP="00021C46">
            <w:pPr>
              <w:jc w:val="center"/>
              <w:rPr>
                <w:szCs w:val="24"/>
                <w:lang w:val="ru-RU"/>
              </w:rPr>
            </w:pPr>
          </w:p>
        </w:tc>
      </w:tr>
      <w:tr w:rsidR="00553D0E" w:rsidTr="00553D0E">
        <w:tc>
          <w:tcPr>
            <w:tcW w:w="4968" w:type="dxa"/>
            <w:tcBorders>
              <w:top w:val="nil"/>
              <w:left w:val="nil"/>
              <w:bottom w:val="nil"/>
              <w:right w:val="nil"/>
            </w:tcBorders>
          </w:tcPr>
          <w:p w:rsidR="00553D0E" w:rsidRDefault="00553D0E" w:rsidP="00AA6014">
            <w:pPr>
              <w:jc w:val="both"/>
              <w:rPr>
                <w:szCs w:val="24"/>
                <w:lang w:val="ru-RU"/>
              </w:rPr>
            </w:pPr>
          </w:p>
        </w:tc>
        <w:tc>
          <w:tcPr>
            <w:tcW w:w="1710" w:type="dxa"/>
            <w:tcBorders>
              <w:top w:val="nil"/>
              <w:left w:val="nil"/>
              <w:bottom w:val="nil"/>
              <w:right w:val="nil"/>
            </w:tcBorders>
          </w:tcPr>
          <w:p w:rsidR="00553D0E" w:rsidRDefault="00553D0E" w:rsidP="00021C46">
            <w:pPr>
              <w:jc w:val="center"/>
              <w:rPr>
                <w:szCs w:val="24"/>
                <w:lang w:val="ru-RU"/>
              </w:rPr>
            </w:pPr>
          </w:p>
        </w:tc>
        <w:tc>
          <w:tcPr>
            <w:tcW w:w="1440" w:type="dxa"/>
            <w:tcBorders>
              <w:top w:val="nil"/>
              <w:left w:val="nil"/>
              <w:bottom w:val="nil"/>
              <w:right w:val="nil"/>
            </w:tcBorders>
          </w:tcPr>
          <w:p w:rsidR="00553D0E" w:rsidRDefault="00553D0E" w:rsidP="00021C46">
            <w:pPr>
              <w:jc w:val="center"/>
              <w:rPr>
                <w:szCs w:val="24"/>
                <w:lang w:val="ru-RU"/>
              </w:rPr>
            </w:pPr>
          </w:p>
        </w:tc>
        <w:tc>
          <w:tcPr>
            <w:tcW w:w="1458" w:type="dxa"/>
            <w:tcBorders>
              <w:top w:val="nil"/>
              <w:left w:val="nil"/>
              <w:bottom w:val="nil"/>
              <w:right w:val="nil"/>
            </w:tcBorders>
          </w:tcPr>
          <w:p w:rsidR="00553D0E" w:rsidRDefault="00553D0E" w:rsidP="00021C46">
            <w:pPr>
              <w:jc w:val="center"/>
              <w:rPr>
                <w:szCs w:val="24"/>
                <w:lang w:val="ru-RU"/>
              </w:rPr>
            </w:pPr>
          </w:p>
        </w:tc>
      </w:tr>
      <w:tr w:rsidR="00553D0E" w:rsidTr="00553D0E">
        <w:tc>
          <w:tcPr>
            <w:tcW w:w="4968" w:type="dxa"/>
            <w:tcBorders>
              <w:top w:val="nil"/>
              <w:left w:val="nil"/>
              <w:bottom w:val="nil"/>
              <w:right w:val="nil"/>
            </w:tcBorders>
          </w:tcPr>
          <w:p w:rsidR="00553D0E" w:rsidRDefault="00553D0E" w:rsidP="00AA6014">
            <w:pPr>
              <w:jc w:val="both"/>
              <w:rPr>
                <w:szCs w:val="24"/>
                <w:lang w:val="ru-RU"/>
              </w:rPr>
            </w:pPr>
          </w:p>
        </w:tc>
        <w:tc>
          <w:tcPr>
            <w:tcW w:w="1710" w:type="dxa"/>
            <w:tcBorders>
              <w:top w:val="nil"/>
              <w:left w:val="nil"/>
              <w:bottom w:val="nil"/>
              <w:right w:val="nil"/>
            </w:tcBorders>
          </w:tcPr>
          <w:p w:rsidR="00553D0E" w:rsidRDefault="00553D0E" w:rsidP="00021C46">
            <w:pPr>
              <w:jc w:val="center"/>
              <w:rPr>
                <w:szCs w:val="24"/>
                <w:lang w:val="ru-RU"/>
              </w:rPr>
            </w:pPr>
          </w:p>
        </w:tc>
        <w:tc>
          <w:tcPr>
            <w:tcW w:w="1440" w:type="dxa"/>
            <w:tcBorders>
              <w:top w:val="nil"/>
              <w:left w:val="nil"/>
              <w:bottom w:val="nil"/>
              <w:right w:val="nil"/>
            </w:tcBorders>
          </w:tcPr>
          <w:p w:rsidR="00553D0E" w:rsidRDefault="00553D0E" w:rsidP="00021C46">
            <w:pPr>
              <w:jc w:val="center"/>
              <w:rPr>
                <w:szCs w:val="24"/>
                <w:lang w:val="ru-RU"/>
              </w:rPr>
            </w:pPr>
          </w:p>
        </w:tc>
        <w:tc>
          <w:tcPr>
            <w:tcW w:w="1458" w:type="dxa"/>
            <w:tcBorders>
              <w:top w:val="nil"/>
              <w:left w:val="nil"/>
              <w:bottom w:val="nil"/>
              <w:right w:val="nil"/>
            </w:tcBorders>
          </w:tcPr>
          <w:p w:rsidR="00553D0E" w:rsidRDefault="00553D0E" w:rsidP="00021C46">
            <w:pPr>
              <w:jc w:val="center"/>
              <w:rPr>
                <w:szCs w:val="24"/>
                <w:lang w:val="ru-RU"/>
              </w:rPr>
            </w:pPr>
          </w:p>
        </w:tc>
      </w:tr>
    </w:tbl>
    <w:p w:rsidR="005601B5" w:rsidRPr="00E96CEC" w:rsidRDefault="005601B5" w:rsidP="00E96CEC">
      <w:pPr>
        <w:jc w:val="both"/>
        <w:rPr>
          <w:szCs w:val="24"/>
        </w:rPr>
      </w:pPr>
    </w:p>
    <w:p w:rsidR="00AA6014" w:rsidRDefault="00021C46" w:rsidP="00021C46">
      <w:pPr>
        <w:jc w:val="center"/>
        <w:rPr>
          <w:b/>
          <w:szCs w:val="24"/>
          <w:lang w:val="ru-RU"/>
        </w:rPr>
      </w:pPr>
      <w:r>
        <w:rPr>
          <w:b/>
          <w:szCs w:val="24"/>
          <w:lang w:val="ru-RU"/>
        </w:rPr>
        <w:t>Смернице за припрему буџета</w:t>
      </w:r>
    </w:p>
    <w:p w:rsidR="00021C46" w:rsidRDefault="008443DA" w:rsidP="00021C46">
      <w:pPr>
        <w:jc w:val="center"/>
        <w:rPr>
          <w:b/>
          <w:szCs w:val="24"/>
          <w:lang w:val="ru-RU"/>
        </w:rPr>
      </w:pPr>
      <w:r>
        <w:rPr>
          <w:b/>
          <w:szCs w:val="24"/>
          <w:lang w:val="ru-RU"/>
        </w:rPr>
        <w:t>Општине Мерошина за 201</w:t>
      </w:r>
      <w:r>
        <w:rPr>
          <w:b/>
          <w:szCs w:val="24"/>
          <w:lang w:val="en-US"/>
        </w:rPr>
        <w:t>8</w:t>
      </w:r>
      <w:r w:rsidR="00021C46">
        <w:rPr>
          <w:b/>
          <w:szCs w:val="24"/>
          <w:lang w:val="ru-RU"/>
        </w:rPr>
        <w:t>.годину</w:t>
      </w:r>
    </w:p>
    <w:p w:rsidR="00021C46" w:rsidRDefault="00021C46" w:rsidP="00021C46">
      <w:pPr>
        <w:jc w:val="center"/>
        <w:rPr>
          <w:b/>
          <w:szCs w:val="24"/>
          <w:lang w:val="ru-RU"/>
        </w:rPr>
      </w:pPr>
    </w:p>
    <w:p w:rsidR="00021C46" w:rsidRDefault="00021C46" w:rsidP="00021C46">
      <w:pPr>
        <w:jc w:val="both"/>
        <w:rPr>
          <w:szCs w:val="24"/>
          <w:lang w:val="ru-RU"/>
        </w:rPr>
      </w:pPr>
      <w:r>
        <w:rPr>
          <w:b/>
          <w:szCs w:val="24"/>
          <w:lang w:val="ru-RU"/>
        </w:rPr>
        <w:tab/>
      </w:r>
      <w:r w:rsidRPr="00021C46">
        <w:rPr>
          <w:szCs w:val="24"/>
          <w:lang w:val="ru-RU"/>
        </w:rPr>
        <w:t>Сагледавајући прив</w:t>
      </w:r>
      <w:r>
        <w:rPr>
          <w:szCs w:val="24"/>
          <w:lang w:val="ru-RU"/>
        </w:rPr>
        <w:t>редна кретања у 201</w:t>
      </w:r>
      <w:r w:rsidR="00F8389A">
        <w:rPr>
          <w:szCs w:val="24"/>
          <w:lang w:val="en-US"/>
        </w:rPr>
        <w:t>7</w:t>
      </w:r>
      <w:r>
        <w:rPr>
          <w:szCs w:val="24"/>
          <w:lang w:val="ru-RU"/>
        </w:rPr>
        <w:t>.години, полазећи од тога да</w:t>
      </w:r>
      <w:r w:rsidR="0083438B">
        <w:rPr>
          <w:szCs w:val="24"/>
          <w:lang w:val="ru-RU"/>
        </w:rPr>
        <w:t xml:space="preserve"> ће</w:t>
      </w:r>
      <w:r>
        <w:rPr>
          <w:szCs w:val="24"/>
          <w:lang w:val="ru-RU"/>
        </w:rPr>
        <w:t xml:space="preserve"> у овој години реалн</w:t>
      </w:r>
      <w:r w:rsidR="0083438B">
        <w:rPr>
          <w:szCs w:val="24"/>
          <w:lang w:val="ru-RU"/>
        </w:rPr>
        <w:t>и</w:t>
      </w:r>
      <w:r>
        <w:rPr>
          <w:szCs w:val="24"/>
          <w:lang w:val="ru-RU"/>
        </w:rPr>
        <w:t xml:space="preserve"> раст</w:t>
      </w:r>
      <w:r w:rsidR="0083438B">
        <w:rPr>
          <w:szCs w:val="24"/>
          <w:lang w:val="ru-RU"/>
        </w:rPr>
        <w:t xml:space="preserve"> БДП-а износити 1,8%, </w:t>
      </w:r>
      <w:r>
        <w:rPr>
          <w:szCs w:val="24"/>
          <w:lang w:val="ru-RU"/>
        </w:rPr>
        <w:t xml:space="preserve"> као и р</w:t>
      </w:r>
      <w:r w:rsidR="00702606">
        <w:rPr>
          <w:szCs w:val="24"/>
          <w:lang w:val="ru-RU"/>
        </w:rPr>
        <w:t>а</w:t>
      </w:r>
      <w:r>
        <w:rPr>
          <w:szCs w:val="24"/>
          <w:lang w:val="ru-RU"/>
        </w:rPr>
        <w:t>ст потрош</w:t>
      </w:r>
      <w:r w:rsidR="00702606">
        <w:rPr>
          <w:szCs w:val="24"/>
          <w:lang w:val="ru-RU"/>
        </w:rPr>
        <w:t>ач</w:t>
      </w:r>
      <w:r>
        <w:rPr>
          <w:szCs w:val="24"/>
          <w:lang w:val="ru-RU"/>
        </w:rPr>
        <w:t>ких цена од 2,</w:t>
      </w:r>
      <w:r w:rsidR="0083438B">
        <w:rPr>
          <w:szCs w:val="24"/>
          <w:lang w:val="ru-RU"/>
        </w:rPr>
        <w:t>8</w:t>
      </w:r>
      <w:r>
        <w:rPr>
          <w:szCs w:val="24"/>
          <w:lang w:val="ru-RU"/>
        </w:rPr>
        <w:t>% ниво упослености у привреди и јавном сектору, а сагласно одредбама члана 40. Закона о буџетском систему, буџетски корисници општине М</w:t>
      </w:r>
      <w:r w:rsidR="00702606">
        <w:rPr>
          <w:szCs w:val="24"/>
          <w:lang w:val="ru-RU"/>
        </w:rPr>
        <w:t>ерошина</w:t>
      </w:r>
      <w:r>
        <w:rPr>
          <w:szCs w:val="24"/>
          <w:lang w:val="ru-RU"/>
        </w:rPr>
        <w:t xml:space="preserve"> су у об</w:t>
      </w:r>
      <w:r w:rsidR="00702606">
        <w:rPr>
          <w:szCs w:val="24"/>
          <w:lang w:val="ru-RU"/>
        </w:rPr>
        <w:t xml:space="preserve">авези да се при изради предлога </w:t>
      </w:r>
      <w:r>
        <w:rPr>
          <w:szCs w:val="24"/>
          <w:lang w:val="ru-RU"/>
        </w:rPr>
        <w:t>финансијског плана за 201</w:t>
      </w:r>
      <w:r w:rsidR="00F8389A">
        <w:rPr>
          <w:szCs w:val="24"/>
          <w:lang w:val="en-US"/>
        </w:rPr>
        <w:t>8</w:t>
      </w:r>
      <w:r>
        <w:rPr>
          <w:szCs w:val="24"/>
          <w:lang w:val="ru-RU"/>
        </w:rPr>
        <w:t>.годину придржавају следећег:</w:t>
      </w:r>
    </w:p>
    <w:p w:rsidR="00021C46" w:rsidRDefault="00021C46" w:rsidP="00021C46">
      <w:pPr>
        <w:jc w:val="both"/>
        <w:rPr>
          <w:szCs w:val="24"/>
          <w:lang w:val="ru-RU"/>
        </w:rPr>
      </w:pPr>
    </w:p>
    <w:p w:rsidR="00021C46" w:rsidRPr="0083438B" w:rsidRDefault="00021C46" w:rsidP="00021C46">
      <w:pPr>
        <w:jc w:val="both"/>
        <w:rPr>
          <w:b/>
          <w:szCs w:val="24"/>
          <w:u w:val="single"/>
          <w:lang w:val="ru-RU"/>
        </w:rPr>
      </w:pPr>
      <w:r>
        <w:rPr>
          <w:szCs w:val="24"/>
          <w:lang w:val="ru-RU"/>
        </w:rPr>
        <w:tab/>
        <w:t>1. Основ п</w:t>
      </w:r>
      <w:r w:rsidR="00702606">
        <w:rPr>
          <w:szCs w:val="24"/>
          <w:lang w:val="ru-RU"/>
        </w:rPr>
        <w:t>о</w:t>
      </w:r>
      <w:r>
        <w:rPr>
          <w:szCs w:val="24"/>
          <w:lang w:val="ru-RU"/>
        </w:rPr>
        <w:t xml:space="preserve">литике планирања прихода и расхода мора бити у складу са реалним пројекцијама буџета општине за </w:t>
      </w:r>
      <w:r w:rsidR="00F8389A">
        <w:rPr>
          <w:szCs w:val="24"/>
          <w:lang w:val="ru-RU"/>
        </w:rPr>
        <w:t>201</w:t>
      </w:r>
      <w:r w:rsidR="00F8389A">
        <w:rPr>
          <w:szCs w:val="24"/>
          <w:lang w:val="en-US"/>
        </w:rPr>
        <w:t>7</w:t>
      </w:r>
      <w:r w:rsidRPr="00E96CEC">
        <w:rPr>
          <w:szCs w:val="24"/>
          <w:lang w:val="ru-RU"/>
        </w:rPr>
        <w:t>.годину.</w:t>
      </w:r>
    </w:p>
    <w:p w:rsidR="00021C46" w:rsidRDefault="00021C46" w:rsidP="00021C46">
      <w:pPr>
        <w:jc w:val="both"/>
        <w:rPr>
          <w:szCs w:val="24"/>
          <w:lang w:val="ru-RU"/>
        </w:rPr>
      </w:pPr>
      <w:r>
        <w:rPr>
          <w:szCs w:val="24"/>
          <w:lang w:val="ru-RU"/>
        </w:rPr>
        <w:tab/>
        <w:t>2. При изради предлога</w:t>
      </w:r>
      <w:r w:rsidR="00702606">
        <w:rPr>
          <w:szCs w:val="24"/>
          <w:lang w:val="ru-RU"/>
        </w:rPr>
        <w:t xml:space="preserve"> </w:t>
      </w:r>
      <w:r>
        <w:rPr>
          <w:szCs w:val="24"/>
          <w:lang w:val="ru-RU"/>
        </w:rPr>
        <w:t>финансијских планова</w:t>
      </w:r>
      <w:r w:rsidR="00702606">
        <w:rPr>
          <w:szCs w:val="24"/>
          <w:lang w:val="ru-RU"/>
        </w:rPr>
        <w:t xml:space="preserve"> </w:t>
      </w:r>
      <w:r>
        <w:rPr>
          <w:szCs w:val="24"/>
          <w:lang w:val="ru-RU"/>
        </w:rPr>
        <w:t>за 201</w:t>
      </w:r>
      <w:r w:rsidR="00F8389A">
        <w:rPr>
          <w:szCs w:val="24"/>
          <w:lang w:val="en-US"/>
        </w:rPr>
        <w:t>8</w:t>
      </w:r>
      <w:r>
        <w:rPr>
          <w:szCs w:val="24"/>
          <w:lang w:val="ru-RU"/>
        </w:rPr>
        <w:t>.годину, корисници буџета треба да планирају расходе и издатке до нивоа утврђених овим Упутством, водећи рачуна при томе о донетим одлукама утовореним обавезама и друго, од стране Скупштине општине, односно надлежног органа општине Мер</w:t>
      </w:r>
      <w:r w:rsidR="00702606">
        <w:rPr>
          <w:szCs w:val="24"/>
          <w:lang w:val="ru-RU"/>
        </w:rPr>
        <w:t>о</w:t>
      </w:r>
      <w:r>
        <w:rPr>
          <w:szCs w:val="24"/>
          <w:lang w:val="ru-RU"/>
        </w:rPr>
        <w:t>шина.</w:t>
      </w:r>
    </w:p>
    <w:p w:rsidR="00021C46" w:rsidRDefault="00021C46" w:rsidP="00021C46">
      <w:pPr>
        <w:jc w:val="both"/>
        <w:rPr>
          <w:lang w:val="ru-RU"/>
        </w:rPr>
      </w:pPr>
      <w:r>
        <w:rPr>
          <w:lang w:val="ru-RU"/>
        </w:rPr>
        <w:lastRenderedPageBreak/>
        <w:tab/>
        <w:t>3. Ради сагледавања могућности буџета општине Мер</w:t>
      </w:r>
      <w:r w:rsidR="00702606">
        <w:rPr>
          <w:lang w:val="ru-RU"/>
        </w:rPr>
        <w:t>о</w:t>
      </w:r>
      <w:r>
        <w:rPr>
          <w:lang w:val="ru-RU"/>
        </w:rPr>
        <w:t>шина за 201</w:t>
      </w:r>
      <w:r w:rsidR="00F8389A">
        <w:rPr>
          <w:lang w:val="en-US"/>
        </w:rPr>
        <w:t>8</w:t>
      </w:r>
      <w:r>
        <w:rPr>
          <w:lang w:val="ru-RU"/>
        </w:rPr>
        <w:t xml:space="preserve">.годину и наредне две године, </w:t>
      </w:r>
      <w:r w:rsidR="00702606">
        <w:rPr>
          <w:lang w:val="ru-RU"/>
        </w:rPr>
        <w:t>даје</w:t>
      </w:r>
      <w:r w:rsidR="00847DD2">
        <w:rPr>
          <w:lang w:val="ru-RU"/>
        </w:rPr>
        <w:t xml:space="preserve"> се </w:t>
      </w:r>
      <w:r w:rsidR="00702606">
        <w:rPr>
          <w:lang w:val="ru-RU"/>
        </w:rPr>
        <w:t xml:space="preserve"> следећа пројекција прихода и примања</w:t>
      </w:r>
      <w:r w:rsidR="00D46A60">
        <w:rPr>
          <w:lang w:val="ru-RU"/>
        </w:rPr>
        <w:t xml:space="preserve">,као и расхода и </w:t>
      </w:r>
      <w:r w:rsidR="000237A3">
        <w:rPr>
          <w:lang w:val="ru-RU"/>
        </w:rPr>
        <w:t>и</w:t>
      </w:r>
      <w:r w:rsidR="00D46A60">
        <w:rPr>
          <w:lang w:val="ru-RU"/>
        </w:rPr>
        <w:t>здатака</w:t>
      </w:r>
      <w:r w:rsidR="00702606">
        <w:rPr>
          <w:lang w:val="ru-RU"/>
        </w:rPr>
        <w:t>:</w:t>
      </w:r>
    </w:p>
    <w:p w:rsidR="00847DD2" w:rsidRDefault="00847DD2" w:rsidP="00021C46">
      <w:pPr>
        <w:jc w:val="both"/>
        <w:rPr>
          <w:lang w:val="ru-RU"/>
        </w:rPr>
      </w:pPr>
    </w:p>
    <w:p w:rsidR="00702606" w:rsidRDefault="00F35F64" w:rsidP="00021C46">
      <w:pPr>
        <w:jc w:val="both"/>
        <w:rPr>
          <w:lang w:val="ru-RU"/>
        </w:rPr>
      </w:pPr>
      <w:r>
        <w:rPr>
          <w:lang w:val="ru-RU"/>
        </w:rPr>
        <w:tab/>
      </w:r>
      <w:r w:rsidR="00D46A60">
        <w:rPr>
          <w:lang w:val="ru-RU"/>
        </w:rPr>
        <w:t>ПРИХОДИ</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(у 000 динара)</w:t>
      </w:r>
    </w:p>
    <w:p w:rsidR="00F35F64" w:rsidRDefault="00F35F64" w:rsidP="00021C46">
      <w:pPr>
        <w:jc w:val="both"/>
        <w:rPr>
          <w:lang w:val="ru-RU"/>
        </w:rPr>
      </w:pPr>
    </w:p>
    <w:tbl>
      <w:tblPr>
        <w:tblStyle w:val="TableGrid"/>
        <w:tblW w:w="0" w:type="auto"/>
        <w:tblLook w:val="04A0"/>
      </w:tblPr>
      <w:tblGrid>
        <w:gridCol w:w="576"/>
        <w:gridCol w:w="3321"/>
        <w:gridCol w:w="1299"/>
        <w:gridCol w:w="1408"/>
        <w:gridCol w:w="1348"/>
        <w:gridCol w:w="1624"/>
      </w:tblGrid>
      <w:tr w:rsidR="00702606" w:rsidTr="00DF08A1">
        <w:trPr>
          <w:trHeight w:val="290"/>
        </w:trPr>
        <w:tc>
          <w:tcPr>
            <w:tcW w:w="576" w:type="dxa"/>
            <w:vMerge w:val="restart"/>
          </w:tcPr>
          <w:p w:rsidR="00702606" w:rsidRPr="00702606" w:rsidRDefault="00702606" w:rsidP="00021C46">
            <w:pPr>
              <w:jc w:val="both"/>
              <w:rPr>
                <w:b/>
                <w:lang w:val="ru-RU"/>
              </w:rPr>
            </w:pPr>
            <w:r w:rsidRPr="00702606">
              <w:rPr>
                <w:b/>
                <w:lang w:val="ru-RU"/>
              </w:rPr>
              <w:t>Ек.</w:t>
            </w:r>
          </w:p>
          <w:p w:rsidR="00702606" w:rsidRPr="00702606" w:rsidRDefault="00702606" w:rsidP="00021C46">
            <w:pPr>
              <w:jc w:val="both"/>
              <w:rPr>
                <w:b/>
                <w:lang w:val="ru-RU"/>
              </w:rPr>
            </w:pPr>
            <w:r w:rsidRPr="00702606">
              <w:rPr>
                <w:b/>
                <w:lang w:val="ru-RU"/>
              </w:rPr>
              <w:t>кл.</w:t>
            </w:r>
          </w:p>
        </w:tc>
        <w:tc>
          <w:tcPr>
            <w:tcW w:w="3321" w:type="dxa"/>
            <w:vMerge w:val="restart"/>
          </w:tcPr>
          <w:p w:rsidR="00702606" w:rsidRPr="00702606" w:rsidRDefault="00702606" w:rsidP="00702606">
            <w:pPr>
              <w:jc w:val="center"/>
              <w:rPr>
                <w:b/>
                <w:lang w:val="ru-RU"/>
              </w:rPr>
            </w:pPr>
            <w:r w:rsidRPr="00702606">
              <w:rPr>
                <w:b/>
                <w:lang w:val="ru-RU"/>
              </w:rPr>
              <w:t>ОПИС</w:t>
            </w:r>
          </w:p>
        </w:tc>
        <w:tc>
          <w:tcPr>
            <w:tcW w:w="1299" w:type="dxa"/>
            <w:tcBorders>
              <w:bottom w:val="single" w:sz="4" w:space="0" w:color="auto"/>
              <w:right w:val="single" w:sz="4" w:space="0" w:color="auto"/>
            </w:tcBorders>
          </w:tcPr>
          <w:p w:rsidR="00702606" w:rsidRPr="00702606" w:rsidRDefault="00702606" w:rsidP="00702606">
            <w:pPr>
              <w:jc w:val="center"/>
              <w:rPr>
                <w:b/>
                <w:lang w:val="ru-RU"/>
              </w:rPr>
            </w:pPr>
            <w:r w:rsidRPr="00702606">
              <w:rPr>
                <w:b/>
                <w:lang w:val="ru-RU"/>
              </w:rPr>
              <w:t>Процена</w:t>
            </w:r>
          </w:p>
        </w:tc>
        <w:tc>
          <w:tcPr>
            <w:tcW w:w="4380" w:type="dxa"/>
            <w:gridSpan w:val="3"/>
            <w:tcBorders>
              <w:left w:val="single" w:sz="4" w:space="0" w:color="auto"/>
              <w:bottom w:val="single" w:sz="4" w:space="0" w:color="auto"/>
            </w:tcBorders>
          </w:tcPr>
          <w:p w:rsidR="00702606" w:rsidRPr="00702606" w:rsidRDefault="00702606" w:rsidP="00702606">
            <w:pPr>
              <w:jc w:val="center"/>
              <w:rPr>
                <w:b/>
                <w:lang w:val="ru-RU"/>
              </w:rPr>
            </w:pPr>
            <w:r w:rsidRPr="00702606">
              <w:rPr>
                <w:b/>
                <w:lang w:val="ru-RU"/>
              </w:rPr>
              <w:t>Пројекција</w:t>
            </w:r>
          </w:p>
        </w:tc>
      </w:tr>
      <w:tr w:rsidR="00702606" w:rsidTr="00DF08A1">
        <w:trPr>
          <w:trHeight w:val="260"/>
        </w:trPr>
        <w:tc>
          <w:tcPr>
            <w:tcW w:w="576" w:type="dxa"/>
            <w:vMerge/>
          </w:tcPr>
          <w:p w:rsidR="00702606" w:rsidRDefault="00702606" w:rsidP="00021C46">
            <w:pPr>
              <w:jc w:val="both"/>
              <w:rPr>
                <w:lang w:val="ru-RU"/>
              </w:rPr>
            </w:pPr>
          </w:p>
        </w:tc>
        <w:tc>
          <w:tcPr>
            <w:tcW w:w="3321" w:type="dxa"/>
            <w:vMerge/>
          </w:tcPr>
          <w:p w:rsidR="00702606" w:rsidRDefault="00702606" w:rsidP="00702606">
            <w:pPr>
              <w:jc w:val="center"/>
              <w:rPr>
                <w:lang w:val="ru-RU"/>
              </w:rPr>
            </w:pPr>
          </w:p>
        </w:tc>
        <w:tc>
          <w:tcPr>
            <w:tcW w:w="1299" w:type="dxa"/>
            <w:tcBorders>
              <w:top w:val="single" w:sz="4" w:space="0" w:color="auto"/>
              <w:right w:val="single" w:sz="4" w:space="0" w:color="auto"/>
            </w:tcBorders>
          </w:tcPr>
          <w:p w:rsidR="00702606" w:rsidRPr="00702606" w:rsidRDefault="00702606" w:rsidP="00DF08A1">
            <w:pPr>
              <w:jc w:val="center"/>
              <w:rPr>
                <w:b/>
                <w:lang w:val="ru-RU"/>
              </w:rPr>
            </w:pPr>
            <w:r w:rsidRPr="00702606">
              <w:rPr>
                <w:b/>
                <w:lang w:val="ru-RU"/>
              </w:rPr>
              <w:t>201</w:t>
            </w:r>
            <w:r w:rsidR="00F8389A">
              <w:rPr>
                <w:b/>
                <w:lang w:val="en-US"/>
              </w:rPr>
              <w:t>7</w:t>
            </w:r>
            <w:r w:rsidRPr="00702606">
              <w:rPr>
                <w:b/>
                <w:lang w:val="ru-RU"/>
              </w:rPr>
              <w:t>.</w:t>
            </w:r>
          </w:p>
        </w:tc>
        <w:tc>
          <w:tcPr>
            <w:tcW w:w="1408" w:type="dxa"/>
            <w:tcBorders>
              <w:top w:val="single" w:sz="4" w:space="0" w:color="auto"/>
              <w:left w:val="single" w:sz="4" w:space="0" w:color="auto"/>
              <w:right w:val="single" w:sz="4" w:space="0" w:color="auto"/>
            </w:tcBorders>
          </w:tcPr>
          <w:p w:rsidR="00702606" w:rsidRPr="00702606" w:rsidRDefault="00702606" w:rsidP="00DF08A1">
            <w:pPr>
              <w:jc w:val="center"/>
              <w:rPr>
                <w:b/>
                <w:lang w:val="ru-RU"/>
              </w:rPr>
            </w:pPr>
            <w:r w:rsidRPr="00702606">
              <w:rPr>
                <w:b/>
                <w:lang w:val="ru-RU"/>
              </w:rPr>
              <w:t>201</w:t>
            </w:r>
            <w:r w:rsidR="00F8389A">
              <w:rPr>
                <w:b/>
                <w:lang w:val="en-US"/>
              </w:rPr>
              <w:t>8</w:t>
            </w:r>
            <w:r w:rsidRPr="00702606">
              <w:rPr>
                <w:b/>
                <w:lang w:val="ru-RU"/>
              </w:rPr>
              <w:t>.</w:t>
            </w:r>
          </w:p>
        </w:tc>
        <w:tc>
          <w:tcPr>
            <w:tcW w:w="1348" w:type="dxa"/>
            <w:tcBorders>
              <w:top w:val="single" w:sz="4" w:space="0" w:color="auto"/>
              <w:left w:val="single" w:sz="4" w:space="0" w:color="auto"/>
              <w:right w:val="single" w:sz="4" w:space="0" w:color="auto"/>
            </w:tcBorders>
          </w:tcPr>
          <w:p w:rsidR="00702606" w:rsidRPr="00702606" w:rsidRDefault="00702606" w:rsidP="00DF08A1">
            <w:pPr>
              <w:jc w:val="center"/>
              <w:rPr>
                <w:b/>
                <w:lang w:val="ru-RU"/>
              </w:rPr>
            </w:pPr>
            <w:r w:rsidRPr="00702606">
              <w:rPr>
                <w:b/>
                <w:lang w:val="ru-RU"/>
              </w:rPr>
              <w:t>201</w:t>
            </w:r>
            <w:r w:rsidR="00F8389A">
              <w:rPr>
                <w:b/>
                <w:lang w:val="en-US"/>
              </w:rPr>
              <w:t>9</w:t>
            </w:r>
            <w:r w:rsidRPr="00702606">
              <w:rPr>
                <w:b/>
                <w:lang w:val="ru-RU"/>
              </w:rPr>
              <w:t>.</w:t>
            </w:r>
          </w:p>
        </w:tc>
        <w:tc>
          <w:tcPr>
            <w:tcW w:w="1624" w:type="dxa"/>
            <w:tcBorders>
              <w:top w:val="single" w:sz="4" w:space="0" w:color="auto"/>
              <w:left w:val="single" w:sz="4" w:space="0" w:color="auto"/>
            </w:tcBorders>
          </w:tcPr>
          <w:p w:rsidR="00702606" w:rsidRPr="00702606" w:rsidRDefault="00702606" w:rsidP="00F8389A">
            <w:pPr>
              <w:jc w:val="center"/>
              <w:rPr>
                <w:b/>
                <w:lang w:val="ru-RU"/>
              </w:rPr>
            </w:pPr>
            <w:r w:rsidRPr="00702606">
              <w:rPr>
                <w:b/>
                <w:lang w:val="ru-RU"/>
              </w:rPr>
              <w:t>20</w:t>
            </w:r>
            <w:r w:rsidR="00F8389A">
              <w:rPr>
                <w:b/>
                <w:lang w:val="en-US"/>
              </w:rPr>
              <w:t>20</w:t>
            </w:r>
            <w:r w:rsidRPr="00702606">
              <w:rPr>
                <w:b/>
                <w:lang w:val="ru-RU"/>
              </w:rPr>
              <w:t>.</w:t>
            </w:r>
          </w:p>
        </w:tc>
      </w:tr>
      <w:tr w:rsidR="00702606" w:rsidRPr="00DF08A1" w:rsidTr="00DF08A1">
        <w:tc>
          <w:tcPr>
            <w:tcW w:w="576" w:type="dxa"/>
          </w:tcPr>
          <w:p w:rsidR="00702606" w:rsidRDefault="00702606" w:rsidP="00021C46">
            <w:pPr>
              <w:jc w:val="both"/>
              <w:rPr>
                <w:lang w:val="ru-RU"/>
              </w:rPr>
            </w:pPr>
            <w:r>
              <w:rPr>
                <w:lang w:val="ru-RU"/>
              </w:rPr>
              <w:t>71</w:t>
            </w:r>
            <w:r w:rsidR="00DF08A1">
              <w:rPr>
                <w:lang w:val="ru-RU"/>
              </w:rPr>
              <w:t>1</w:t>
            </w:r>
          </w:p>
        </w:tc>
        <w:tc>
          <w:tcPr>
            <w:tcW w:w="3321" w:type="dxa"/>
          </w:tcPr>
          <w:p w:rsidR="00702606" w:rsidRDefault="00702606" w:rsidP="00021C46">
            <w:pPr>
              <w:jc w:val="both"/>
              <w:rPr>
                <w:lang w:val="ru-RU"/>
              </w:rPr>
            </w:pPr>
            <w:r>
              <w:rPr>
                <w:lang w:val="ru-RU"/>
              </w:rPr>
              <w:t>Порез</w:t>
            </w:r>
            <w:r w:rsidR="00DF08A1">
              <w:rPr>
                <w:lang w:val="ru-RU"/>
              </w:rPr>
              <w:t xml:space="preserve"> на доходак, добит и капиталне добитке</w:t>
            </w:r>
          </w:p>
        </w:tc>
        <w:tc>
          <w:tcPr>
            <w:tcW w:w="1299" w:type="dxa"/>
            <w:tcBorders>
              <w:right w:val="single" w:sz="4" w:space="0" w:color="auto"/>
            </w:tcBorders>
          </w:tcPr>
          <w:p w:rsidR="00702606" w:rsidRDefault="00141FC1" w:rsidP="00892BC5">
            <w:pPr>
              <w:jc w:val="right"/>
              <w:rPr>
                <w:lang w:val="ru-RU"/>
              </w:rPr>
            </w:pPr>
            <w:r>
              <w:rPr>
                <w:lang w:val="ru-RU"/>
              </w:rPr>
              <w:t>1</w:t>
            </w:r>
            <w:r>
              <w:rPr>
                <w:lang w:val="en-US"/>
              </w:rPr>
              <w:t>1</w:t>
            </w:r>
            <w:r w:rsidR="00DF08A1">
              <w:rPr>
                <w:lang w:val="ru-RU"/>
              </w:rPr>
              <w:t>1.300</w:t>
            </w:r>
          </w:p>
        </w:tc>
        <w:tc>
          <w:tcPr>
            <w:tcW w:w="1408" w:type="dxa"/>
            <w:tcBorders>
              <w:left w:val="single" w:sz="4" w:space="0" w:color="auto"/>
              <w:right w:val="single" w:sz="4" w:space="0" w:color="auto"/>
            </w:tcBorders>
          </w:tcPr>
          <w:p w:rsidR="00702606" w:rsidRDefault="00DF08A1" w:rsidP="00892BC5">
            <w:pPr>
              <w:jc w:val="right"/>
              <w:rPr>
                <w:lang w:val="ru-RU"/>
              </w:rPr>
            </w:pPr>
            <w:r>
              <w:rPr>
                <w:lang w:val="ru-RU"/>
              </w:rPr>
              <w:t>122.000</w:t>
            </w:r>
          </w:p>
        </w:tc>
        <w:tc>
          <w:tcPr>
            <w:tcW w:w="1348" w:type="dxa"/>
            <w:tcBorders>
              <w:left w:val="single" w:sz="4" w:space="0" w:color="auto"/>
              <w:right w:val="single" w:sz="4" w:space="0" w:color="auto"/>
            </w:tcBorders>
          </w:tcPr>
          <w:p w:rsidR="00702606" w:rsidRDefault="00DF08A1" w:rsidP="00892BC5">
            <w:pPr>
              <w:jc w:val="right"/>
              <w:rPr>
                <w:lang w:val="ru-RU"/>
              </w:rPr>
            </w:pPr>
            <w:r>
              <w:rPr>
                <w:lang w:val="ru-RU"/>
              </w:rPr>
              <w:t>122.000</w:t>
            </w:r>
          </w:p>
        </w:tc>
        <w:tc>
          <w:tcPr>
            <w:tcW w:w="1624" w:type="dxa"/>
            <w:tcBorders>
              <w:left w:val="single" w:sz="4" w:space="0" w:color="auto"/>
            </w:tcBorders>
          </w:tcPr>
          <w:p w:rsidR="00702606" w:rsidRDefault="00DF08A1" w:rsidP="00892BC5">
            <w:pPr>
              <w:jc w:val="right"/>
              <w:rPr>
                <w:lang w:val="ru-RU"/>
              </w:rPr>
            </w:pPr>
            <w:r>
              <w:rPr>
                <w:lang w:val="ru-RU"/>
              </w:rPr>
              <w:t>125.000</w:t>
            </w:r>
          </w:p>
        </w:tc>
      </w:tr>
      <w:tr w:rsidR="00DF08A1" w:rsidRPr="00DF08A1" w:rsidTr="00DF08A1">
        <w:tc>
          <w:tcPr>
            <w:tcW w:w="576" w:type="dxa"/>
          </w:tcPr>
          <w:p w:rsidR="00DF08A1" w:rsidRDefault="00DF08A1" w:rsidP="00021C46">
            <w:pPr>
              <w:jc w:val="both"/>
              <w:rPr>
                <w:lang w:val="ru-RU"/>
              </w:rPr>
            </w:pPr>
            <w:r>
              <w:rPr>
                <w:lang w:val="ru-RU"/>
              </w:rPr>
              <w:t>713</w:t>
            </w:r>
          </w:p>
        </w:tc>
        <w:tc>
          <w:tcPr>
            <w:tcW w:w="3321" w:type="dxa"/>
          </w:tcPr>
          <w:p w:rsidR="00DF08A1" w:rsidRDefault="00DF08A1" w:rsidP="00021C46">
            <w:pPr>
              <w:jc w:val="both"/>
              <w:rPr>
                <w:lang w:val="ru-RU"/>
              </w:rPr>
            </w:pPr>
            <w:r>
              <w:rPr>
                <w:lang w:val="ru-RU"/>
              </w:rPr>
              <w:t>Порез на имовину</w:t>
            </w:r>
          </w:p>
        </w:tc>
        <w:tc>
          <w:tcPr>
            <w:tcW w:w="1299" w:type="dxa"/>
            <w:tcBorders>
              <w:right w:val="single" w:sz="4" w:space="0" w:color="auto"/>
            </w:tcBorders>
          </w:tcPr>
          <w:p w:rsidR="00DF08A1" w:rsidRDefault="00DF08A1" w:rsidP="00892BC5">
            <w:pPr>
              <w:jc w:val="right"/>
              <w:rPr>
                <w:lang w:val="ru-RU"/>
              </w:rPr>
            </w:pPr>
            <w:r>
              <w:rPr>
                <w:lang w:val="ru-RU"/>
              </w:rPr>
              <w:t>22.500</w:t>
            </w:r>
          </w:p>
        </w:tc>
        <w:tc>
          <w:tcPr>
            <w:tcW w:w="1408" w:type="dxa"/>
            <w:tcBorders>
              <w:left w:val="single" w:sz="4" w:space="0" w:color="auto"/>
              <w:right w:val="single" w:sz="4" w:space="0" w:color="auto"/>
            </w:tcBorders>
          </w:tcPr>
          <w:p w:rsidR="00DF08A1" w:rsidRDefault="00DF08A1" w:rsidP="00892BC5">
            <w:pPr>
              <w:jc w:val="right"/>
              <w:rPr>
                <w:lang w:val="ru-RU"/>
              </w:rPr>
            </w:pPr>
            <w:r>
              <w:rPr>
                <w:lang w:val="ru-RU"/>
              </w:rPr>
              <w:t>23.000</w:t>
            </w:r>
          </w:p>
        </w:tc>
        <w:tc>
          <w:tcPr>
            <w:tcW w:w="1348" w:type="dxa"/>
            <w:tcBorders>
              <w:left w:val="single" w:sz="4" w:space="0" w:color="auto"/>
              <w:right w:val="single" w:sz="4" w:space="0" w:color="auto"/>
            </w:tcBorders>
          </w:tcPr>
          <w:p w:rsidR="00DF08A1" w:rsidRDefault="00DF08A1" w:rsidP="00892BC5">
            <w:pPr>
              <w:jc w:val="right"/>
              <w:rPr>
                <w:lang w:val="ru-RU"/>
              </w:rPr>
            </w:pPr>
            <w:r>
              <w:rPr>
                <w:lang w:val="ru-RU"/>
              </w:rPr>
              <w:t>23.000</w:t>
            </w:r>
          </w:p>
        </w:tc>
        <w:tc>
          <w:tcPr>
            <w:tcW w:w="1624" w:type="dxa"/>
            <w:tcBorders>
              <w:left w:val="single" w:sz="4" w:space="0" w:color="auto"/>
            </w:tcBorders>
          </w:tcPr>
          <w:p w:rsidR="00DF08A1" w:rsidRDefault="00DF08A1" w:rsidP="00892BC5">
            <w:pPr>
              <w:jc w:val="right"/>
              <w:rPr>
                <w:lang w:val="ru-RU"/>
              </w:rPr>
            </w:pPr>
            <w:r>
              <w:rPr>
                <w:lang w:val="ru-RU"/>
              </w:rPr>
              <w:t>25.000</w:t>
            </w:r>
          </w:p>
        </w:tc>
      </w:tr>
      <w:tr w:rsidR="00DF08A1" w:rsidRPr="00DF08A1" w:rsidTr="00DF08A1">
        <w:tc>
          <w:tcPr>
            <w:tcW w:w="576" w:type="dxa"/>
          </w:tcPr>
          <w:p w:rsidR="00DF08A1" w:rsidRDefault="00DF08A1" w:rsidP="00021C46">
            <w:pPr>
              <w:jc w:val="both"/>
              <w:rPr>
                <w:lang w:val="ru-RU"/>
              </w:rPr>
            </w:pPr>
            <w:r>
              <w:rPr>
                <w:lang w:val="ru-RU"/>
              </w:rPr>
              <w:t>714</w:t>
            </w:r>
          </w:p>
        </w:tc>
        <w:tc>
          <w:tcPr>
            <w:tcW w:w="3321" w:type="dxa"/>
          </w:tcPr>
          <w:p w:rsidR="00DF08A1" w:rsidRDefault="00DF08A1" w:rsidP="00021C46">
            <w:pPr>
              <w:jc w:val="both"/>
              <w:rPr>
                <w:lang w:val="ru-RU"/>
              </w:rPr>
            </w:pPr>
            <w:r>
              <w:rPr>
                <w:lang w:val="ru-RU"/>
              </w:rPr>
              <w:t>Порез на добра и услуге</w:t>
            </w:r>
          </w:p>
        </w:tc>
        <w:tc>
          <w:tcPr>
            <w:tcW w:w="1299" w:type="dxa"/>
            <w:tcBorders>
              <w:right w:val="single" w:sz="4" w:space="0" w:color="auto"/>
            </w:tcBorders>
          </w:tcPr>
          <w:p w:rsidR="00DF08A1" w:rsidRDefault="00DF08A1" w:rsidP="00892BC5">
            <w:pPr>
              <w:jc w:val="right"/>
              <w:rPr>
                <w:lang w:val="ru-RU"/>
              </w:rPr>
            </w:pPr>
            <w:r>
              <w:rPr>
                <w:lang w:val="ru-RU"/>
              </w:rPr>
              <w:t>9.250</w:t>
            </w:r>
          </w:p>
        </w:tc>
        <w:tc>
          <w:tcPr>
            <w:tcW w:w="1408" w:type="dxa"/>
            <w:tcBorders>
              <w:left w:val="single" w:sz="4" w:space="0" w:color="auto"/>
              <w:right w:val="single" w:sz="4" w:space="0" w:color="auto"/>
            </w:tcBorders>
          </w:tcPr>
          <w:p w:rsidR="00DF08A1" w:rsidRDefault="00DF08A1" w:rsidP="00892BC5">
            <w:pPr>
              <w:jc w:val="right"/>
              <w:rPr>
                <w:lang w:val="ru-RU"/>
              </w:rPr>
            </w:pPr>
            <w:r>
              <w:rPr>
                <w:lang w:val="ru-RU"/>
              </w:rPr>
              <w:t>9.500</w:t>
            </w:r>
          </w:p>
        </w:tc>
        <w:tc>
          <w:tcPr>
            <w:tcW w:w="1348" w:type="dxa"/>
            <w:tcBorders>
              <w:left w:val="single" w:sz="4" w:space="0" w:color="auto"/>
              <w:right w:val="single" w:sz="4" w:space="0" w:color="auto"/>
            </w:tcBorders>
          </w:tcPr>
          <w:p w:rsidR="00DF08A1" w:rsidRDefault="00DF08A1" w:rsidP="00892BC5">
            <w:pPr>
              <w:jc w:val="right"/>
              <w:rPr>
                <w:lang w:val="ru-RU"/>
              </w:rPr>
            </w:pPr>
            <w:r>
              <w:rPr>
                <w:lang w:val="ru-RU"/>
              </w:rPr>
              <w:t>9.500</w:t>
            </w:r>
          </w:p>
        </w:tc>
        <w:tc>
          <w:tcPr>
            <w:tcW w:w="1624" w:type="dxa"/>
            <w:tcBorders>
              <w:left w:val="single" w:sz="4" w:space="0" w:color="auto"/>
            </w:tcBorders>
          </w:tcPr>
          <w:p w:rsidR="00DF08A1" w:rsidRDefault="00DF08A1" w:rsidP="00892BC5">
            <w:pPr>
              <w:jc w:val="right"/>
              <w:rPr>
                <w:lang w:val="ru-RU"/>
              </w:rPr>
            </w:pPr>
            <w:r>
              <w:rPr>
                <w:lang w:val="ru-RU"/>
              </w:rPr>
              <w:t>10.000</w:t>
            </w:r>
          </w:p>
        </w:tc>
      </w:tr>
      <w:tr w:rsidR="00DF08A1" w:rsidRPr="00DF08A1" w:rsidTr="00DF08A1">
        <w:tc>
          <w:tcPr>
            <w:tcW w:w="576" w:type="dxa"/>
          </w:tcPr>
          <w:p w:rsidR="00DF08A1" w:rsidRDefault="00DF08A1" w:rsidP="00021C46">
            <w:pPr>
              <w:jc w:val="both"/>
              <w:rPr>
                <w:lang w:val="ru-RU"/>
              </w:rPr>
            </w:pPr>
            <w:r>
              <w:rPr>
                <w:lang w:val="ru-RU"/>
              </w:rPr>
              <w:t>716</w:t>
            </w:r>
          </w:p>
        </w:tc>
        <w:tc>
          <w:tcPr>
            <w:tcW w:w="3321" w:type="dxa"/>
          </w:tcPr>
          <w:p w:rsidR="00DF08A1" w:rsidRDefault="00DF08A1" w:rsidP="00021C46">
            <w:pPr>
              <w:jc w:val="both"/>
              <w:rPr>
                <w:lang w:val="ru-RU"/>
              </w:rPr>
            </w:pPr>
            <w:r>
              <w:rPr>
                <w:lang w:val="ru-RU"/>
              </w:rPr>
              <w:t>Други порези</w:t>
            </w:r>
          </w:p>
        </w:tc>
        <w:tc>
          <w:tcPr>
            <w:tcW w:w="1299" w:type="dxa"/>
            <w:tcBorders>
              <w:right w:val="single" w:sz="4" w:space="0" w:color="auto"/>
            </w:tcBorders>
          </w:tcPr>
          <w:p w:rsidR="00DF08A1" w:rsidRDefault="00DF08A1" w:rsidP="00892BC5">
            <w:pPr>
              <w:jc w:val="right"/>
              <w:rPr>
                <w:lang w:val="ru-RU"/>
              </w:rPr>
            </w:pPr>
            <w:r>
              <w:rPr>
                <w:lang w:val="ru-RU"/>
              </w:rPr>
              <w:t>6000</w:t>
            </w:r>
          </w:p>
        </w:tc>
        <w:tc>
          <w:tcPr>
            <w:tcW w:w="1408" w:type="dxa"/>
            <w:tcBorders>
              <w:left w:val="single" w:sz="4" w:space="0" w:color="auto"/>
              <w:right w:val="single" w:sz="4" w:space="0" w:color="auto"/>
            </w:tcBorders>
          </w:tcPr>
          <w:p w:rsidR="00DF08A1" w:rsidRDefault="00DF08A1" w:rsidP="00892BC5">
            <w:pPr>
              <w:jc w:val="right"/>
              <w:rPr>
                <w:lang w:val="ru-RU"/>
              </w:rPr>
            </w:pPr>
            <w:r>
              <w:rPr>
                <w:lang w:val="ru-RU"/>
              </w:rPr>
              <w:t>6000</w:t>
            </w:r>
          </w:p>
        </w:tc>
        <w:tc>
          <w:tcPr>
            <w:tcW w:w="1348" w:type="dxa"/>
            <w:tcBorders>
              <w:left w:val="single" w:sz="4" w:space="0" w:color="auto"/>
              <w:right w:val="single" w:sz="4" w:space="0" w:color="auto"/>
            </w:tcBorders>
          </w:tcPr>
          <w:p w:rsidR="00DF08A1" w:rsidRDefault="00DF08A1" w:rsidP="00892BC5">
            <w:pPr>
              <w:jc w:val="right"/>
              <w:rPr>
                <w:lang w:val="ru-RU"/>
              </w:rPr>
            </w:pPr>
            <w:r>
              <w:rPr>
                <w:lang w:val="ru-RU"/>
              </w:rPr>
              <w:t>6000</w:t>
            </w:r>
          </w:p>
        </w:tc>
        <w:tc>
          <w:tcPr>
            <w:tcW w:w="1624" w:type="dxa"/>
            <w:tcBorders>
              <w:left w:val="single" w:sz="4" w:space="0" w:color="auto"/>
            </w:tcBorders>
          </w:tcPr>
          <w:p w:rsidR="00DF08A1" w:rsidRDefault="00DF08A1" w:rsidP="00892BC5">
            <w:pPr>
              <w:jc w:val="right"/>
              <w:rPr>
                <w:lang w:val="ru-RU"/>
              </w:rPr>
            </w:pPr>
            <w:r>
              <w:rPr>
                <w:lang w:val="ru-RU"/>
              </w:rPr>
              <w:t>6000</w:t>
            </w:r>
          </w:p>
        </w:tc>
      </w:tr>
      <w:tr w:rsidR="00702606" w:rsidTr="00DF08A1">
        <w:tc>
          <w:tcPr>
            <w:tcW w:w="576" w:type="dxa"/>
          </w:tcPr>
          <w:p w:rsidR="00702606" w:rsidRDefault="00702606" w:rsidP="00DF08A1">
            <w:pPr>
              <w:jc w:val="both"/>
              <w:rPr>
                <w:lang w:val="ru-RU"/>
              </w:rPr>
            </w:pPr>
            <w:r>
              <w:rPr>
                <w:lang w:val="ru-RU"/>
              </w:rPr>
              <w:t>73</w:t>
            </w:r>
            <w:r w:rsidR="00DF08A1">
              <w:rPr>
                <w:lang w:val="ru-RU"/>
              </w:rPr>
              <w:t>0</w:t>
            </w:r>
          </w:p>
        </w:tc>
        <w:tc>
          <w:tcPr>
            <w:tcW w:w="3321" w:type="dxa"/>
          </w:tcPr>
          <w:p w:rsidR="00702606" w:rsidRDefault="00702606" w:rsidP="00021C46">
            <w:pPr>
              <w:jc w:val="both"/>
              <w:rPr>
                <w:lang w:val="ru-RU"/>
              </w:rPr>
            </w:pPr>
            <w:r>
              <w:rPr>
                <w:lang w:val="ru-RU"/>
              </w:rPr>
              <w:t>Донације</w:t>
            </w:r>
            <w:r w:rsidR="00DF08A1">
              <w:rPr>
                <w:lang w:val="ru-RU"/>
              </w:rPr>
              <w:t xml:space="preserve"> и трансфери</w:t>
            </w:r>
          </w:p>
        </w:tc>
        <w:tc>
          <w:tcPr>
            <w:tcW w:w="1299" w:type="dxa"/>
            <w:tcBorders>
              <w:right w:val="single" w:sz="4" w:space="0" w:color="auto"/>
            </w:tcBorders>
          </w:tcPr>
          <w:p w:rsidR="00702606" w:rsidRDefault="00141FC1" w:rsidP="00141FC1">
            <w:pPr>
              <w:jc w:val="right"/>
              <w:rPr>
                <w:lang w:val="ru-RU"/>
              </w:rPr>
            </w:pPr>
            <w:r>
              <w:rPr>
                <w:lang w:val="en-US"/>
              </w:rPr>
              <w:t>223.299</w:t>
            </w:r>
          </w:p>
        </w:tc>
        <w:tc>
          <w:tcPr>
            <w:tcW w:w="1408" w:type="dxa"/>
            <w:tcBorders>
              <w:left w:val="single" w:sz="4" w:space="0" w:color="auto"/>
              <w:right w:val="single" w:sz="4" w:space="0" w:color="auto"/>
            </w:tcBorders>
          </w:tcPr>
          <w:p w:rsidR="00702606" w:rsidRDefault="00DF08A1" w:rsidP="00892BC5">
            <w:pPr>
              <w:jc w:val="right"/>
              <w:rPr>
                <w:lang w:val="ru-RU"/>
              </w:rPr>
            </w:pPr>
            <w:r>
              <w:rPr>
                <w:lang w:val="ru-RU"/>
              </w:rPr>
              <w:t>215.000</w:t>
            </w:r>
          </w:p>
        </w:tc>
        <w:tc>
          <w:tcPr>
            <w:tcW w:w="1348" w:type="dxa"/>
            <w:tcBorders>
              <w:left w:val="single" w:sz="4" w:space="0" w:color="auto"/>
              <w:right w:val="single" w:sz="4" w:space="0" w:color="auto"/>
            </w:tcBorders>
          </w:tcPr>
          <w:p w:rsidR="00702606" w:rsidRDefault="00DF08A1" w:rsidP="00892BC5">
            <w:pPr>
              <w:jc w:val="right"/>
              <w:rPr>
                <w:lang w:val="ru-RU"/>
              </w:rPr>
            </w:pPr>
            <w:r>
              <w:rPr>
                <w:lang w:val="ru-RU"/>
              </w:rPr>
              <w:t>215.000</w:t>
            </w:r>
          </w:p>
        </w:tc>
        <w:tc>
          <w:tcPr>
            <w:tcW w:w="1624" w:type="dxa"/>
            <w:tcBorders>
              <w:left w:val="single" w:sz="4" w:space="0" w:color="auto"/>
            </w:tcBorders>
          </w:tcPr>
          <w:p w:rsidR="00702606" w:rsidRDefault="00DF08A1" w:rsidP="00892BC5">
            <w:pPr>
              <w:jc w:val="right"/>
              <w:rPr>
                <w:lang w:val="ru-RU"/>
              </w:rPr>
            </w:pPr>
            <w:r>
              <w:rPr>
                <w:lang w:val="ru-RU"/>
              </w:rPr>
              <w:t>212.000</w:t>
            </w:r>
          </w:p>
        </w:tc>
      </w:tr>
      <w:tr w:rsidR="00702606" w:rsidTr="00DF08A1">
        <w:tc>
          <w:tcPr>
            <w:tcW w:w="576" w:type="dxa"/>
          </w:tcPr>
          <w:p w:rsidR="00702606" w:rsidRDefault="00702606" w:rsidP="00DF08A1">
            <w:pPr>
              <w:jc w:val="both"/>
              <w:rPr>
                <w:lang w:val="ru-RU"/>
              </w:rPr>
            </w:pPr>
            <w:r>
              <w:rPr>
                <w:lang w:val="ru-RU"/>
              </w:rPr>
              <w:t>7</w:t>
            </w:r>
            <w:r w:rsidR="00DF08A1">
              <w:rPr>
                <w:lang w:val="ru-RU"/>
              </w:rPr>
              <w:t>41</w:t>
            </w:r>
          </w:p>
        </w:tc>
        <w:tc>
          <w:tcPr>
            <w:tcW w:w="3321" w:type="dxa"/>
          </w:tcPr>
          <w:p w:rsidR="00702606" w:rsidRDefault="00DF08A1" w:rsidP="00021C46">
            <w:pPr>
              <w:jc w:val="both"/>
              <w:rPr>
                <w:lang w:val="ru-RU"/>
              </w:rPr>
            </w:pPr>
            <w:r>
              <w:rPr>
                <w:lang w:val="ru-RU"/>
              </w:rPr>
              <w:t xml:space="preserve">Приходи од имовине </w:t>
            </w:r>
          </w:p>
        </w:tc>
        <w:tc>
          <w:tcPr>
            <w:tcW w:w="1299" w:type="dxa"/>
            <w:tcBorders>
              <w:right w:val="single" w:sz="4" w:space="0" w:color="auto"/>
            </w:tcBorders>
          </w:tcPr>
          <w:p w:rsidR="00702606" w:rsidRDefault="00DF08A1" w:rsidP="00892BC5">
            <w:pPr>
              <w:jc w:val="right"/>
              <w:rPr>
                <w:lang w:val="ru-RU"/>
              </w:rPr>
            </w:pPr>
            <w:r>
              <w:rPr>
                <w:lang w:val="ru-RU"/>
              </w:rPr>
              <w:t>2.200</w:t>
            </w:r>
          </w:p>
        </w:tc>
        <w:tc>
          <w:tcPr>
            <w:tcW w:w="1408" w:type="dxa"/>
            <w:tcBorders>
              <w:left w:val="single" w:sz="4" w:space="0" w:color="auto"/>
              <w:right w:val="single" w:sz="4" w:space="0" w:color="auto"/>
            </w:tcBorders>
          </w:tcPr>
          <w:p w:rsidR="00702606" w:rsidRDefault="00DF08A1" w:rsidP="00892BC5">
            <w:pPr>
              <w:jc w:val="right"/>
              <w:rPr>
                <w:lang w:val="ru-RU"/>
              </w:rPr>
            </w:pPr>
            <w:r>
              <w:rPr>
                <w:lang w:val="ru-RU"/>
              </w:rPr>
              <w:t>2.500</w:t>
            </w:r>
          </w:p>
        </w:tc>
        <w:tc>
          <w:tcPr>
            <w:tcW w:w="1348" w:type="dxa"/>
            <w:tcBorders>
              <w:left w:val="single" w:sz="4" w:space="0" w:color="auto"/>
              <w:right w:val="single" w:sz="4" w:space="0" w:color="auto"/>
            </w:tcBorders>
          </w:tcPr>
          <w:p w:rsidR="00702606" w:rsidRDefault="00DF08A1" w:rsidP="00892BC5">
            <w:pPr>
              <w:jc w:val="right"/>
              <w:rPr>
                <w:lang w:val="ru-RU"/>
              </w:rPr>
            </w:pPr>
            <w:r>
              <w:rPr>
                <w:lang w:val="ru-RU"/>
              </w:rPr>
              <w:t>2.500</w:t>
            </w:r>
          </w:p>
        </w:tc>
        <w:tc>
          <w:tcPr>
            <w:tcW w:w="1624" w:type="dxa"/>
            <w:tcBorders>
              <w:left w:val="single" w:sz="4" w:space="0" w:color="auto"/>
            </w:tcBorders>
          </w:tcPr>
          <w:p w:rsidR="00702606" w:rsidRDefault="00DF08A1" w:rsidP="00892BC5">
            <w:pPr>
              <w:jc w:val="right"/>
              <w:rPr>
                <w:lang w:val="ru-RU"/>
              </w:rPr>
            </w:pPr>
            <w:r>
              <w:rPr>
                <w:lang w:val="ru-RU"/>
              </w:rPr>
              <w:t>2.500</w:t>
            </w:r>
          </w:p>
        </w:tc>
      </w:tr>
      <w:tr w:rsidR="00702606" w:rsidRPr="00DF08A1" w:rsidTr="00DF08A1">
        <w:tc>
          <w:tcPr>
            <w:tcW w:w="576" w:type="dxa"/>
          </w:tcPr>
          <w:p w:rsidR="00702606" w:rsidRDefault="00702606" w:rsidP="00021C46">
            <w:pPr>
              <w:jc w:val="both"/>
              <w:rPr>
                <w:lang w:val="ru-RU"/>
              </w:rPr>
            </w:pPr>
            <w:r>
              <w:rPr>
                <w:lang w:val="ru-RU"/>
              </w:rPr>
              <w:t>74</w:t>
            </w:r>
            <w:r w:rsidR="00DF08A1">
              <w:rPr>
                <w:lang w:val="ru-RU"/>
              </w:rPr>
              <w:t>2</w:t>
            </w:r>
          </w:p>
        </w:tc>
        <w:tc>
          <w:tcPr>
            <w:tcW w:w="3321" w:type="dxa"/>
          </w:tcPr>
          <w:p w:rsidR="00702606" w:rsidRDefault="00DF08A1" w:rsidP="00021C46">
            <w:pPr>
              <w:jc w:val="both"/>
              <w:rPr>
                <w:lang w:val="ru-RU"/>
              </w:rPr>
            </w:pPr>
            <w:r>
              <w:rPr>
                <w:lang w:val="ru-RU"/>
              </w:rPr>
              <w:t>Приходи од продаје добара и услуга</w:t>
            </w:r>
          </w:p>
        </w:tc>
        <w:tc>
          <w:tcPr>
            <w:tcW w:w="1299" w:type="dxa"/>
            <w:tcBorders>
              <w:right w:val="single" w:sz="4" w:space="0" w:color="auto"/>
            </w:tcBorders>
          </w:tcPr>
          <w:p w:rsidR="00702606" w:rsidRDefault="00DF08A1" w:rsidP="00892BC5">
            <w:pPr>
              <w:jc w:val="right"/>
              <w:rPr>
                <w:lang w:val="ru-RU"/>
              </w:rPr>
            </w:pPr>
            <w:r>
              <w:rPr>
                <w:lang w:val="ru-RU"/>
              </w:rPr>
              <w:t>7.100</w:t>
            </w:r>
          </w:p>
        </w:tc>
        <w:tc>
          <w:tcPr>
            <w:tcW w:w="1408" w:type="dxa"/>
            <w:tcBorders>
              <w:left w:val="single" w:sz="4" w:space="0" w:color="auto"/>
              <w:right w:val="single" w:sz="4" w:space="0" w:color="auto"/>
            </w:tcBorders>
          </w:tcPr>
          <w:p w:rsidR="00702606" w:rsidRDefault="00DF08A1" w:rsidP="00892BC5">
            <w:pPr>
              <w:jc w:val="right"/>
              <w:rPr>
                <w:lang w:val="ru-RU"/>
              </w:rPr>
            </w:pPr>
            <w:r>
              <w:rPr>
                <w:lang w:val="ru-RU"/>
              </w:rPr>
              <w:t>7.000</w:t>
            </w:r>
          </w:p>
        </w:tc>
        <w:tc>
          <w:tcPr>
            <w:tcW w:w="1348" w:type="dxa"/>
            <w:tcBorders>
              <w:left w:val="single" w:sz="4" w:space="0" w:color="auto"/>
              <w:right w:val="single" w:sz="4" w:space="0" w:color="auto"/>
            </w:tcBorders>
          </w:tcPr>
          <w:p w:rsidR="00702606" w:rsidRDefault="00DF08A1" w:rsidP="00892BC5">
            <w:pPr>
              <w:jc w:val="right"/>
              <w:rPr>
                <w:lang w:val="ru-RU"/>
              </w:rPr>
            </w:pPr>
            <w:r>
              <w:rPr>
                <w:lang w:val="ru-RU"/>
              </w:rPr>
              <w:t>7.100</w:t>
            </w:r>
          </w:p>
        </w:tc>
        <w:tc>
          <w:tcPr>
            <w:tcW w:w="1624" w:type="dxa"/>
            <w:tcBorders>
              <w:left w:val="single" w:sz="4" w:space="0" w:color="auto"/>
            </w:tcBorders>
          </w:tcPr>
          <w:p w:rsidR="00702606" w:rsidRDefault="00DF08A1" w:rsidP="00892BC5">
            <w:pPr>
              <w:jc w:val="right"/>
              <w:rPr>
                <w:lang w:val="ru-RU"/>
              </w:rPr>
            </w:pPr>
            <w:r>
              <w:rPr>
                <w:lang w:val="ru-RU"/>
              </w:rPr>
              <w:t>7.000</w:t>
            </w:r>
          </w:p>
        </w:tc>
      </w:tr>
      <w:tr w:rsidR="00DF08A1" w:rsidRPr="00DF08A1" w:rsidTr="00DF08A1">
        <w:tc>
          <w:tcPr>
            <w:tcW w:w="576" w:type="dxa"/>
          </w:tcPr>
          <w:p w:rsidR="00DF08A1" w:rsidRDefault="00DF08A1" w:rsidP="00021C46">
            <w:pPr>
              <w:jc w:val="both"/>
              <w:rPr>
                <w:lang w:val="ru-RU"/>
              </w:rPr>
            </w:pPr>
            <w:r>
              <w:rPr>
                <w:lang w:val="ru-RU"/>
              </w:rPr>
              <w:t>743</w:t>
            </w:r>
          </w:p>
        </w:tc>
        <w:tc>
          <w:tcPr>
            <w:tcW w:w="3321" w:type="dxa"/>
          </w:tcPr>
          <w:p w:rsidR="00DF08A1" w:rsidRDefault="00DF08A1" w:rsidP="00021C46">
            <w:pPr>
              <w:jc w:val="both"/>
              <w:rPr>
                <w:lang w:val="ru-RU"/>
              </w:rPr>
            </w:pPr>
            <w:r>
              <w:rPr>
                <w:lang w:val="ru-RU"/>
              </w:rPr>
              <w:t>Новчане казне и одузета имовинска корист</w:t>
            </w:r>
          </w:p>
        </w:tc>
        <w:tc>
          <w:tcPr>
            <w:tcW w:w="1299" w:type="dxa"/>
            <w:tcBorders>
              <w:right w:val="single" w:sz="4" w:space="0" w:color="auto"/>
            </w:tcBorders>
          </w:tcPr>
          <w:p w:rsidR="00DF08A1" w:rsidRPr="00141FC1" w:rsidRDefault="00141FC1" w:rsidP="00892BC5">
            <w:pPr>
              <w:jc w:val="right"/>
              <w:rPr>
                <w:lang w:val="en-US"/>
              </w:rPr>
            </w:pPr>
            <w:r>
              <w:rPr>
                <w:lang w:val="en-US"/>
              </w:rPr>
              <w:t>2.000</w:t>
            </w:r>
          </w:p>
        </w:tc>
        <w:tc>
          <w:tcPr>
            <w:tcW w:w="1408" w:type="dxa"/>
            <w:tcBorders>
              <w:left w:val="single" w:sz="4" w:space="0" w:color="auto"/>
              <w:right w:val="single" w:sz="4" w:space="0" w:color="auto"/>
            </w:tcBorders>
          </w:tcPr>
          <w:p w:rsidR="00DF08A1" w:rsidRPr="00141FC1" w:rsidRDefault="00141FC1" w:rsidP="00892BC5">
            <w:pPr>
              <w:jc w:val="right"/>
              <w:rPr>
                <w:lang w:val="en-US"/>
              </w:rPr>
            </w:pPr>
            <w:r>
              <w:rPr>
                <w:lang w:val="en-US"/>
              </w:rPr>
              <w:t>2.000</w:t>
            </w:r>
          </w:p>
        </w:tc>
        <w:tc>
          <w:tcPr>
            <w:tcW w:w="1348" w:type="dxa"/>
            <w:tcBorders>
              <w:left w:val="single" w:sz="4" w:space="0" w:color="auto"/>
              <w:right w:val="single" w:sz="4" w:space="0" w:color="auto"/>
            </w:tcBorders>
          </w:tcPr>
          <w:p w:rsidR="00DF08A1" w:rsidRDefault="00DF08A1" w:rsidP="00892BC5">
            <w:pPr>
              <w:jc w:val="right"/>
              <w:rPr>
                <w:lang w:val="ru-RU"/>
              </w:rPr>
            </w:pPr>
            <w:r>
              <w:rPr>
                <w:lang w:val="ru-RU"/>
              </w:rPr>
              <w:t>1.500</w:t>
            </w:r>
          </w:p>
        </w:tc>
        <w:tc>
          <w:tcPr>
            <w:tcW w:w="1624" w:type="dxa"/>
            <w:tcBorders>
              <w:left w:val="single" w:sz="4" w:space="0" w:color="auto"/>
            </w:tcBorders>
          </w:tcPr>
          <w:p w:rsidR="00DF08A1" w:rsidRDefault="00DF08A1" w:rsidP="00892BC5">
            <w:pPr>
              <w:jc w:val="right"/>
              <w:rPr>
                <w:lang w:val="ru-RU"/>
              </w:rPr>
            </w:pPr>
            <w:r>
              <w:rPr>
                <w:lang w:val="ru-RU"/>
              </w:rPr>
              <w:t>1.500</w:t>
            </w:r>
          </w:p>
        </w:tc>
      </w:tr>
      <w:tr w:rsidR="00DF08A1" w:rsidRPr="003F08FF" w:rsidTr="00DF08A1">
        <w:tc>
          <w:tcPr>
            <w:tcW w:w="576" w:type="dxa"/>
          </w:tcPr>
          <w:p w:rsidR="00DF08A1" w:rsidRDefault="00DF08A1" w:rsidP="00021C46">
            <w:pPr>
              <w:jc w:val="both"/>
              <w:rPr>
                <w:lang w:val="ru-RU"/>
              </w:rPr>
            </w:pPr>
            <w:r>
              <w:rPr>
                <w:lang w:val="ru-RU"/>
              </w:rPr>
              <w:t>7</w:t>
            </w:r>
            <w:r w:rsidR="003F08FF">
              <w:rPr>
                <w:lang w:val="ru-RU"/>
              </w:rPr>
              <w:t>44</w:t>
            </w:r>
          </w:p>
        </w:tc>
        <w:tc>
          <w:tcPr>
            <w:tcW w:w="3321" w:type="dxa"/>
          </w:tcPr>
          <w:p w:rsidR="00DF08A1" w:rsidRDefault="003F08FF" w:rsidP="00021C46">
            <w:pPr>
              <w:jc w:val="both"/>
              <w:rPr>
                <w:lang w:val="ru-RU"/>
              </w:rPr>
            </w:pPr>
            <w:r>
              <w:rPr>
                <w:lang w:val="ru-RU"/>
              </w:rPr>
              <w:t>Добровољни трансфери од физичких и правних лица</w:t>
            </w:r>
          </w:p>
        </w:tc>
        <w:tc>
          <w:tcPr>
            <w:tcW w:w="1299" w:type="dxa"/>
            <w:tcBorders>
              <w:right w:val="single" w:sz="4" w:space="0" w:color="auto"/>
            </w:tcBorders>
          </w:tcPr>
          <w:p w:rsidR="00DF08A1" w:rsidRDefault="003F08FF" w:rsidP="00892BC5">
            <w:pPr>
              <w:jc w:val="right"/>
              <w:rPr>
                <w:lang w:val="ru-RU"/>
              </w:rPr>
            </w:pPr>
            <w:r>
              <w:rPr>
                <w:lang w:val="ru-RU"/>
              </w:rPr>
              <w:t>/</w:t>
            </w:r>
          </w:p>
        </w:tc>
        <w:tc>
          <w:tcPr>
            <w:tcW w:w="1408" w:type="dxa"/>
            <w:tcBorders>
              <w:left w:val="single" w:sz="4" w:space="0" w:color="auto"/>
              <w:right w:val="single" w:sz="4" w:space="0" w:color="auto"/>
            </w:tcBorders>
          </w:tcPr>
          <w:p w:rsidR="00DF08A1" w:rsidRDefault="003F08FF" w:rsidP="00892BC5">
            <w:pPr>
              <w:jc w:val="right"/>
              <w:rPr>
                <w:lang w:val="ru-RU"/>
              </w:rPr>
            </w:pPr>
            <w:r>
              <w:rPr>
                <w:lang w:val="ru-RU"/>
              </w:rPr>
              <w:t>/</w:t>
            </w:r>
          </w:p>
        </w:tc>
        <w:tc>
          <w:tcPr>
            <w:tcW w:w="1348" w:type="dxa"/>
            <w:tcBorders>
              <w:left w:val="single" w:sz="4" w:space="0" w:color="auto"/>
              <w:right w:val="single" w:sz="4" w:space="0" w:color="auto"/>
            </w:tcBorders>
          </w:tcPr>
          <w:p w:rsidR="00DF08A1" w:rsidRDefault="003F08FF" w:rsidP="00892BC5">
            <w:pPr>
              <w:jc w:val="right"/>
              <w:rPr>
                <w:lang w:val="ru-RU"/>
              </w:rPr>
            </w:pPr>
            <w:r>
              <w:rPr>
                <w:lang w:val="ru-RU"/>
              </w:rPr>
              <w:t>/</w:t>
            </w:r>
          </w:p>
        </w:tc>
        <w:tc>
          <w:tcPr>
            <w:tcW w:w="1624" w:type="dxa"/>
            <w:tcBorders>
              <w:left w:val="single" w:sz="4" w:space="0" w:color="auto"/>
            </w:tcBorders>
          </w:tcPr>
          <w:p w:rsidR="00DF08A1" w:rsidRDefault="003F08FF" w:rsidP="00892BC5">
            <w:pPr>
              <w:jc w:val="right"/>
              <w:rPr>
                <w:lang w:val="ru-RU"/>
              </w:rPr>
            </w:pPr>
            <w:r>
              <w:rPr>
                <w:lang w:val="ru-RU"/>
              </w:rPr>
              <w:t>/</w:t>
            </w:r>
          </w:p>
        </w:tc>
      </w:tr>
      <w:tr w:rsidR="00DF08A1" w:rsidRPr="00C36A77" w:rsidTr="00DF08A1">
        <w:tc>
          <w:tcPr>
            <w:tcW w:w="576" w:type="dxa"/>
          </w:tcPr>
          <w:p w:rsidR="00DF08A1" w:rsidRDefault="003F08FF" w:rsidP="00021C46">
            <w:pPr>
              <w:jc w:val="both"/>
              <w:rPr>
                <w:lang w:val="ru-RU"/>
              </w:rPr>
            </w:pPr>
            <w:r>
              <w:rPr>
                <w:lang w:val="ru-RU"/>
              </w:rPr>
              <w:t>745</w:t>
            </w:r>
          </w:p>
        </w:tc>
        <w:tc>
          <w:tcPr>
            <w:tcW w:w="3321" w:type="dxa"/>
          </w:tcPr>
          <w:p w:rsidR="00DF08A1" w:rsidRDefault="003F08FF" w:rsidP="00702606">
            <w:pPr>
              <w:rPr>
                <w:lang w:val="ru-RU"/>
              </w:rPr>
            </w:pPr>
            <w:r>
              <w:rPr>
                <w:lang w:val="ru-RU"/>
              </w:rPr>
              <w:t>Мешовити и неодређени приходи</w:t>
            </w:r>
          </w:p>
        </w:tc>
        <w:tc>
          <w:tcPr>
            <w:tcW w:w="1299" w:type="dxa"/>
            <w:tcBorders>
              <w:right w:val="single" w:sz="4" w:space="0" w:color="auto"/>
            </w:tcBorders>
          </w:tcPr>
          <w:p w:rsidR="00DF08A1" w:rsidRPr="00141FC1" w:rsidRDefault="00141FC1" w:rsidP="00892BC5">
            <w:pPr>
              <w:jc w:val="right"/>
              <w:rPr>
                <w:lang w:val="en-US"/>
              </w:rPr>
            </w:pPr>
            <w:r>
              <w:rPr>
                <w:lang w:val="en-US"/>
              </w:rPr>
              <w:t>38.559</w:t>
            </w:r>
          </w:p>
        </w:tc>
        <w:tc>
          <w:tcPr>
            <w:tcW w:w="1408" w:type="dxa"/>
            <w:tcBorders>
              <w:left w:val="single" w:sz="4" w:space="0" w:color="auto"/>
              <w:right w:val="single" w:sz="4" w:space="0" w:color="auto"/>
            </w:tcBorders>
          </w:tcPr>
          <w:p w:rsidR="00DF08A1" w:rsidRDefault="003F08FF" w:rsidP="00892BC5">
            <w:pPr>
              <w:jc w:val="right"/>
              <w:rPr>
                <w:lang w:val="ru-RU"/>
              </w:rPr>
            </w:pPr>
            <w:r>
              <w:rPr>
                <w:lang w:val="ru-RU"/>
              </w:rPr>
              <w:t>11.000</w:t>
            </w:r>
          </w:p>
        </w:tc>
        <w:tc>
          <w:tcPr>
            <w:tcW w:w="1348" w:type="dxa"/>
            <w:tcBorders>
              <w:left w:val="single" w:sz="4" w:space="0" w:color="auto"/>
              <w:right w:val="single" w:sz="4" w:space="0" w:color="auto"/>
            </w:tcBorders>
          </w:tcPr>
          <w:p w:rsidR="00DF08A1" w:rsidRDefault="003F08FF" w:rsidP="00892BC5">
            <w:pPr>
              <w:jc w:val="right"/>
              <w:rPr>
                <w:lang w:val="ru-RU"/>
              </w:rPr>
            </w:pPr>
            <w:r>
              <w:rPr>
                <w:lang w:val="ru-RU"/>
              </w:rPr>
              <w:t>11.500</w:t>
            </w:r>
          </w:p>
        </w:tc>
        <w:tc>
          <w:tcPr>
            <w:tcW w:w="1624" w:type="dxa"/>
            <w:tcBorders>
              <w:left w:val="single" w:sz="4" w:space="0" w:color="auto"/>
            </w:tcBorders>
          </w:tcPr>
          <w:p w:rsidR="00DF08A1" w:rsidRDefault="003F08FF" w:rsidP="00892BC5">
            <w:pPr>
              <w:jc w:val="right"/>
              <w:rPr>
                <w:lang w:val="ru-RU"/>
              </w:rPr>
            </w:pPr>
            <w:r>
              <w:rPr>
                <w:lang w:val="ru-RU"/>
              </w:rPr>
              <w:t>11.500</w:t>
            </w:r>
          </w:p>
        </w:tc>
      </w:tr>
      <w:tr w:rsidR="003F08FF" w:rsidRPr="00C36A77" w:rsidTr="00DF08A1">
        <w:tc>
          <w:tcPr>
            <w:tcW w:w="576" w:type="dxa"/>
          </w:tcPr>
          <w:p w:rsidR="003F08FF" w:rsidRDefault="003F08FF" w:rsidP="00021C46">
            <w:pPr>
              <w:jc w:val="both"/>
              <w:rPr>
                <w:lang w:val="ru-RU"/>
              </w:rPr>
            </w:pPr>
            <w:r>
              <w:rPr>
                <w:lang w:val="ru-RU"/>
              </w:rPr>
              <w:t>770</w:t>
            </w:r>
          </w:p>
        </w:tc>
        <w:tc>
          <w:tcPr>
            <w:tcW w:w="3321" w:type="dxa"/>
          </w:tcPr>
          <w:p w:rsidR="003F08FF" w:rsidRDefault="003F08FF" w:rsidP="00702606">
            <w:pPr>
              <w:rPr>
                <w:lang w:val="ru-RU"/>
              </w:rPr>
            </w:pPr>
            <w:r>
              <w:rPr>
                <w:lang w:val="ru-RU"/>
              </w:rPr>
              <w:t>Меморандумске ставке за рефундацију расхода</w:t>
            </w:r>
          </w:p>
        </w:tc>
        <w:tc>
          <w:tcPr>
            <w:tcW w:w="1299" w:type="dxa"/>
            <w:tcBorders>
              <w:right w:val="single" w:sz="4" w:space="0" w:color="auto"/>
            </w:tcBorders>
          </w:tcPr>
          <w:p w:rsidR="003F08FF" w:rsidRPr="00E96CEC" w:rsidRDefault="00141FC1" w:rsidP="00892BC5">
            <w:pPr>
              <w:jc w:val="right"/>
            </w:pPr>
            <w:r>
              <w:t>500</w:t>
            </w:r>
          </w:p>
        </w:tc>
        <w:tc>
          <w:tcPr>
            <w:tcW w:w="1408" w:type="dxa"/>
            <w:tcBorders>
              <w:left w:val="single" w:sz="4" w:space="0" w:color="auto"/>
              <w:right w:val="single" w:sz="4" w:space="0" w:color="auto"/>
            </w:tcBorders>
          </w:tcPr>
          <w:p w:rsidR="003F08FF" w:rsidRPr="00E96CEC" w:rsidRDefault="00141FC1" w:rsidP="00892BC5">
            <w:pPr>
              <w:jc w:val="right"/>
            </w:pPr>
            <w:r>
              <w:t>5</w:t>
            </w:r>
            <w:r w:rsidR="00E96CEC">
              <w:t>.000</w:t>
            </w:r>
          </w:p>
        </w:tc>
        <w:tc>
          <w:tcPr>
            <w:tcW w:w="1348" w:type="dxa"/>
            <w:tcBorders>
              <w:left w:val="single" w:sz="4" w:space="0" w:color="auto"/>
              <w:right w:val="single" w:sz="4" w:space="0" w:color="auto"/>
            </w:tcBorders>
          </w:tcPr>
          <w:p w:rsidR="003F08FF" w:rsidRPr="00E96CEC" w:rsidRDefault="00E96CEC" w:rsidP="00892BC5">
            <w:pPr>
              <w:jc w:val="right"/>
            </w:pPr>
            <w:r>
              <w:t>1.000</w:t>
            </w:r>
          </w:p>
        </w:tc>
        <w:tc>
          <w:tcPr>
            <w:tcW w:w="1624" w:type="dxa"/>
            <w:tcBorders>
              <w:left w:val="single" w:sz="4" w:space="0" w:color="auto"/>
            </w:tcBorders>
          </w:tcPr>
          <w:p w:rsidR="003F08FF" w:rsidRPr="00E96CEC" w:rsidRDefault="00E96CEC" w:rsidP="00892BC5">
            <w:pPr>
              <w:jc w:val="right"/>
            </w:pPr>
            <w:r>
              <w:t>1.000</w:t>
            </w:r>
          </w:p>
        </w:tc>
      </w:tr>
      <w:tr w:rsidR="003F08FF" w:rsidRPr="00C36A77" w:rsidTr="00DF08A1">
        <w:tc>
          <w:tcPr>
            <w:tcW w:w="576" w:type="dxa"/>
          </w:tcPr>
          <w:p w:rsidR="003F08FF" w:rsidRDefault="003F08FF" w:rsidP="00021C46">
            <w:pPr>
              <w:jc w:val="both"/>
              <w:rPr>
                <w:lang w:val="ru-RU"/>
              </w:rPr>
            </w:pPr>
            <w:r>
              <w:rPr>
                <w:lang w:val="ru-RU"/>
              </w:rPr>
              <w:t>810</w:t>
            </w:r>
          </w:p>
        </w:tc>
        <w:tc>
          <w:tcPr>
            <w:tcW w:w="3321" w:type="dxa"/>
          </w:tcPr>
          <w:p w:rsidR="003F08FF" w:rsidRDefault="003F08FF" w:rsidP="00702606">
            <w:pPr>
              <w:rPr>
                <w:lang w:val="ru-RU"/>
              </w:rPr>
            </w:pPr>
            <w:r>
              <w:rPr>
                <w:lang w:val="ru-RU"/>
              </w:rPr>
              <w:t>Примања од продаје основних средстава</w:t>
            </w:r>
          </w:p>
        </w:tc>
        <w:tc>
          <w:tcPr>
            <w:tcW w:w="1299" w:type="dxa"/>
            <w:tcBorders>
              <w:right w:val="single" w:sz="4" w:space="0" w:color="auto"/>
            </w:tcBorders>
          </w:tcPr>
          <w:p w:rsidR="003F08FF" w:rsidRDefault="003F08FF" w:rsidP="00892BC5">
            <w:pPr>
              <w:jc w:val="right"/>
              <w:rPr>
                <w:lang w:val="ru-RU"/>
              </w:rPr>
            </w:pPr>
            <w:r>
              <w:rPr>
                <w:lang w:val="ru-RU"/>
              </w:rPr>
              <w:t>/</w:t>
            </w:r>
          </w:p>
        </w:tc>
        <w:tc>
          <w:tcPr>
            <w:tcW w:w="1408" w:type="dxa"/>
            <w:tcBorders>
              <w:left w:val="single" w:sz="4" w:space="0" w:color="auto"/>
              <w:right w:val="single" w:sz="4" w:space="0" w:color="auto"/>
            </w:tcBorders>
          </w:tcPr>
          <w:p w:rsidR="003F08FF" w:rsidRDefault="003F08FF" w:rsidP="00892BC5">
            <w:pPr>
              <w:jc w:val="right"/>
              <w:rPr>
                <w:lang w:val="ru-RU"/>
              </w:rPr>
            </w:pPr>
            <w:r>
              <w:rPr>
                <w:lang w:val="ru-RU"/>
              </w:rPr>
              <w:t>/</w:t>
            </w:r>
          </w:p>
        </w:tc>
        <w:tc>
          <w:tcPr>
            <w:tcW w:w="1348" w:type="dxa"/>
            <w:tcBorders>
              <w:left w:val="single" w:sz="4" w:space="0" w:color="auto"/>
              <w:right w:val="single" w:sz="4" w:space="0" w:color="auto"/>
            </w:tcBorders>
          </w:tcPr>
          <w:p w:rsidR="003F08FF" w:rsidRDefault="003F08FF" w:rsidP="00892BC5">
            <w:pPr>
              <w:jc w:val="right"/>
              <w:rPr>
                <w:lang w:val="ru-RU"/>
              </w:rPr>
            </w:pPr>
            <w:r>
              <w:rPr>
                <w:lang w:val="ru-RU"/>
              </w:rPr>
              <w:t>/</w:t>
            </w:r>
          </w:p>
        </w:tc>
        <w:tc>
          <w:tcPr>
            <w:tcW w:w="1624" w:type="dxa"/>
            <w:tcBorders>
              <w:left w:val="single" w:sz="4" w:space="0" w:color="auto"/>
            </w:tcBorders>
          </w:tcPr>
          <w:p w:rsidR="003F08FF" w:rsidRDefault="003F08FF" w:rsidP="00892BC5">
            <w:pPr>
              <w:jc w:val="right"/>
              <w:rPr>
                <w:lang w:val="ru-RU"/>
              </w:rPr>
            </w:pPr>
            <w:r>
              <w:rPr>
                <w:lang w:val="ru-RU"/>
              </w:rPr>
              <w:t>/</w:t>
            </w:r>
          </w:p>
        </w:tc>
      </w:tr>
      <w:tr w:rsidR="00DF08A1" w:rsidTr="00DF08A1">
        <w:tc>
          <w:tcPr>
            <w:tcW w:w="576" w:type="dxa"/>
          </w:tcPr>
          <w:p w:rsidR="00DF08A1" w:rsidRDefault="00DF08A1" w:rsidP="00021C46">
            <w:pPr>
              <w:jc w:val="both"/>
              <w:rPr>
                <w:lang w:val="ru-RU"/>
              </w:rPr>
            </w:pPr>
            <w:r>
              <w:rPr>
                <w:lang w:val="ru-RU"/>
              </w:rPr>
              <w:t>91</w:t>
            </w:r>
          </w:p>
        </w:tc>
        <w:tc>
          <w:tcPr>
            <w:tcW w:w="3321" w:type="dxa"/>
          </w:tcPr>
          <w:p w:rsidR="00DF08A1" w:rsidRDefault="00DF08A1" w:rsidP="00702606">
            <w:pPr>
              <w:rPr>
                <w:lang w:val="ru-RU"/>
              </w:rPr>
            </w:pPr>
            <w:r>
              <w:rPr>
                <w:lang w:val="ru-RU"/>
              </w:rPr>
              <w:t>Примања од задуживања</w:t>
            </w:r>
          </w:p>
        </w:tc>
        <w:tc>
          <w:tcPr>
            <w:tcW w:w="1299" w:type="dxa"/>
            <w:tcBorders>
              <w:right w:val="single" w:sz="4" w:space="0" w:color="auto"/>
            </w:tcBorders>
          </w:tcPr>
          <w:p w:rsidR="00DF08A1" w:rsidRPr="00141FC1" w:rsidRDefault="00141FC1" w:rsidP="00892BC5">
            <w:pPr>
              <w:jc w:val="right"/>
              <w:rPr>
                <w:lang w:val="en-US"/>
              </w:rPr>
            </w:pPr>
            <w:r>
              <w:rPr>
                <w:lang w:val="en-US"/>
              </w:rPr>
              <w:t>40.000</w:t>
            </w:r>
          </w:p>
        </w:tc>
        <w:tc>
          <w:tcPr>
            <w:tcW w:w="1408" w:type="dxa"/>
            <w:tcBorders>
              <w:left w:val="single" w:sz="4" w:space="0" w:color="auto"/>
              <w:right w:val="single" w:sz="4" w:space="0" w:color="auto"/>
            </w:tcBorders>
          </w:tcPr>
          <w:p w:rsidR="00DF08A1" w:rsidRDefault="008D4763" w:rsidP="00892BC5">
            <w:pPr>
              <w:jc w:val="right"/>
              <w:rPr>
                <w:lang w:val="ru-RU"/>
              </w:rPr>
            </w:pPr>
            <w:r>
              <w:rPr>
                <w:lang w:val="ru-RU"/>
              </w:rPr>
              <w:t>40.000</w:t>
            </w:r>
          </w:p>
        </w:tc>
        <w:tc>
          <w:tcPr>
            <w:tcW w:w="1348" w:type="dxa"/>
            <w:tcBorders>
              <w:left w:val="single" w:sz="4" w:space="0" w:color="auto"/>
              <w:right w:val="single" w:sz="4" w:space="0" w:color="auto"/>
            </w:tcBorders>
          </w:tcPr>
          <w:p w:rsidR="00DF08A1" w:rsidRDefault="008D4763" w:rsidP="00892BC5">
            <w:pPr>
              <w:jc w:val="right"/>
              <w:rPr>
                <w:lang w:val="ru-RU"/>
              </w:rPr>
            </w:pPr>
            <w:r>
              <w:rPr>
                <w:lang w:val="ru-RU"/>
              </w:rPr>
              <w:t>40.000</w:t>
            </w:r>
          </w:p>
        </w:tc>
        <w:tc>
          <w:tcPr>
            <w:tcW w:w="1624" w:type="dxa"/>
            <w:tcBorders>
              <w:left w:val="single" w:sz="4" w:space="0" w:color="auto"/>
            </w:tcBorders>
          </w:tcPr>
          <w:p w:rsidR="00DF08A1" w:rsidRDefault="008D4763" w:rsidP="00892BC5">
            <w:pPr>
              <w:jc w:val="right"/>
              <w:rPr>
                <w:lang w:val="ru-RU"/>
              </w:rPr>
            </w:pPr>
            <w:r>
              <w:rPr>
                <w:lang w:val="ru-RU"/>
              </w:rPr>
              <w:t>40.000</w:t>
            </w:r>
          </w:p>
        </w:tc>
      </w:tr>
      <w:tr w:rsidR="00DF08A1" w:rsidTr="00DF08A1">
        <w:tc>
          <w:tcPr>
            <w:tcW w:w="576" w:type="dxa"/>
          </w:tcPr>
          <w:p w:rsidR="00DF08A1" w:rsidRDefault="00DF08A1" w:rsidP="00021C46">
            <w:pPr>
              <w:jc w:val="both"/>
              <w:rPr>
                <w:lang w:val="ru-RU"/>
              </w:rPr>
            </w:pPr>
          </w:p>
        </w:tc>
        <w:tc>
          <w:tcPr>
            <w:tcW w:w="3321" w:type="dxa"/>
          </w:tcPr>
          <w:p w:rsidR="00DF08A1" w:rsidRPr="00702606" w:rsidRDefault="00DF08A1" w:rsidP="00702606">
            <w:pPr>
              <w:rPr>
                <w:b/>
                <w:lang w:val="ru-RU"/>
              </w:rPr>
            </w:pPr>
            <w:r w:rsidRPr="00702606">
              <w:rPr>
                <w:b/>
                <w:lang w:val="ru-RU"/>
              </w:rPr>
              <w:t>УКУПНИ ПРИХОДИ И  ПРИМАЊА</w:t>
            </w:r>
          </w:p>
        </w:tc>
        <w:tc>
          <w:tcPr>
            <w:tcW w:w="1299" w:type="dxa"/>
            <w:tcBorders>
              <w:right w:val="single" w:sz="4" w:space="0" w:color="auto"/>
            </w:tcBorders>
          </w:tcPr>
          <w:p w:rsidR="00DF08A1" w:rsidRPr="00141FC1" w:rsidRDefault="00141FC1" w:rsidP="00892BC5">
            <w:pPr>
              <w:jc w:val="right"/>
              <w:rPr>
                <w:lang w:val="en-US"/>
              </w:rPr>
            </w:pPr>
            <w:r>
              <w:rPr>
                <w:lang w:val="en-US"/>
              </w:rPr>
              <w:t>462.708</w:t>
            </w:r>
          </w:p>
        </w:tc>
        <w:tc>
          <w:tcPr>
            <w:tcW w:w="1408" w:type="dxa"/>
            <w:tcBorders>
              <w:left w:val="single" w:sz="4" w:space="0" w:color="auto"/>
              <w:right w:val="single" w:sz="4" w:space="0" w:color="auto"/>
            </w:tcBorders>
          </w:tcPr>
          <w:p w:rsidR="00DF08A1" w:rsidRDefault="003F08FF" w:rsidP="008D4763">
            <w:pPr>
              <w:jc w:val="right"/>
              <w:rPr>
                <w:lang w:val="ru-RU"/>
              </w:rPr>
            </w:pPr>
            <w:r>
              <w:rPr>
                <w:lang w:val="ru-RU"/>
              </w:rPr>
              <w:t>3</w:t>
            </w:r>
            <w:r w:rsidR="008D4763">
              <w:rPr>
                <w:lang w:val="ru-RU"/>
              </w:rPr>
              <w:t>3</w:t>
            </w:r>
            <w:r>
              <w:rPr>
                <w:lang w:val="ru-RU"/>
              </w:rPr>
              <w:t>8.500</w:t>
            </w:r>
          </w:p>
        </w:tc>
        <w:tc>
          <w:tcPr>
            <w:tcW w:w="1348" w:type="dxa"/>
            <w:tcBorders>
              <w:left w:val="single" w:sz="4" w:space="0" w:color="auto"/>
              <w:right w:val="single" w:sz="4" w:space="0" w:color="auto"/>
            </w:tcBorders>
          </w:tcPr>
          <w:p w:rsidR="00DF08A1" w:rsidRDefault="003F08FF" w:rsidP="008D4763">
            <w:pPr>
              <w:jc w:val="right"/>
              <w:rPr>
                <w:lang w:val="ru-RU"/>
              </w:rPr>
            </w:pPr>
            <w:r>
              <w:rPr>
                <w:lang w:val="ru-RU"/>
              </w:rPr>
              <w:t>3</w:t>
            </w:r>
            <w:r w:rsidR="008D4763">
              <w:rPr>
                <w:lang w:val="ru-RU"/>
              </w:rPr>
              <w:t>3</w:t>
            </w:r>
            <w:r>
              <w:rPr>
                <w:lang w:val="ru-RU"/>
              </w:rPr>
              <w:t>9.000</w:t>
            </w:r>
          </w:p>
        </w:tc>
        <w:tc>
          <w:tcPr>
            <w:tcW w:w="1624" w:type="dxa"/>
            <w:tcBorders>
              <w:left w:val="single" w:sz="4" w:space="0" w:color="auto"/>
            </w:tcBorders>
          </w:tcPr>
          <w:p w:rsidR="00DF08A1" w:rsidRDefault="003F08FF" w:rsidP="008D4763">
            <w:pPr>
              <w:jc w:val="right"/>
              <w:rPr>
                <w:lang w:val="ru-RU"/>
              </w:rPr>
            </w:pPr>
            <w:r>
              <w:rPr>
                <w:lang w:val="ru-RU"/>
              </w:rPr>
              <w:t>4</w:t>
            </w:r>
            <w:r w:rsidR="008D4763">
              <w:rPr>
                <w:lang w:val="ru-RU"/>
              </w:rPr>
              <w:t>4</w:t>
            </w:r>
            <w:r>
              <w:rPr>
                <w:lang w:val="ru-RU"/>
              </w:rPr>
              <w:t>1.50</w:t>
            </w:r>
            <w:r w:rsidR="008D4763">
              <w:rPr>
                <w:lang w:val="ru-RU"/>
              </w:rPr>
              <w:t>0</w:t>
            </w:r>
          </w:p>
        </w:tc>
      </w:tr>
    </w:tbl>
    <w:p w:rsidR="00702606" w:rsidRDefault="00702606" w:rsidP="00021C46">
      <w:pPr>
        <w:jc w:val="both"/>
        <w:rPr>
          <w:lang w:val="en-US"/>
        </w:rPr>
      </w:pPr>
    </w:p>
    <w:p w:rsidR="00D46A60" w:rsidRDefault="00D46A60" w:rsidP="00021C46">
      <w:pPr>
        <w:jc w:val="both"/>
        <w:rPr>
          <w:lang w:val="en-US"/>
        </w:rPr>
      </w:pPr>
    </w:p>
    <w:p w:rsidR="00D46A60" w:rsidRDefault="00D46A60" w:rsidP="00021C46">
      <w:pPr>
        <w:jc w:val="both"/>
        <w:rPr>
          <w:lang w:val="en-US"/>
        </w:rPr>
      </w:pPr>
    </w:p>
    <w:p w:rsidR="00D46A60" w:rsidRPr="00D46A60" w:rsidRDefault="00D46A60" w:rsidP="00021C46">
      <w:pPr>
        <w:jc w:val="both"/>
        <w:rPr>
          <w:lang w:val="sr-Cyrl-CS"/>
        </w:rPr>
      </w:pPr>
      <w:r>
        <w:rPr>
          <w:lang w:val="sr-Cyrl-CS"/>
        </w:rPr>
        <w:t>РАСХОДИ</w:t>
      </w:r>
    </w:p>
    <w:p w:rsidR="00D46A60" w:rsidRPr="00D46A60" w:rsidRDefault="00D46A60" w:rsidP="00D46A60">
      <w:pPr>
        <w:jc w:val="center"/>
        <w:rPr>
          <w:lang w:val="sr-Cyrl-CS"/>
        </w:rPr>
      </w:pPr>
      <w:r>
        <w:rPr>
          <w:lang w:val="sr-Cyrl-CS"/>
        </w:rPr>
        <w:t xml:space="preserve">                                                                                                                         (У 000 динара)</w:t>
      </w:r>
    </w:p>
    <w:tbl>
      <w:tblPr>
        <w:tblStyle w:val="TableGrid"/>
        <w:tblW w:w="0" w:type="auto"/>
        <w:tblLook w:val="04A0"/>
      </w:tblPr>
      <w:tblGrid>
        <w:gridCol w:w="576"/>
        <w:gridCol w:w="3321"/>
        <w:gridCol w:w="1299"/>
        <w:gridCol w:w="1408"/>
        <w:gridCol w:w="1348"/>
        <w:gridCol w:w="1624"/>
      </w:tblGrid>
      <w:tr w:rsidR="00D46A60" w:rsidTr="00D46A60">
        <w:trPr>
          <w:trHeight w:val="290"/>
        </w:trPr>
        <w:tc>
          <w:tcPr>
            <w:tcW w:w="576" w:type="dxa"/>
            <w:vMerge w:val="restart"/>
          </w:tcPr>
          <w:p w:rsidR="00D46A60" w:rsidRPr="00702606" w:rsidRDefault="00D46A60" w:rsidP="00D46A60">
            <w:pPr>
              <w:jc w:val="both"/>
              <w:rPr>
                <w:b/>
                <w:lang w:val="ru-RU"/>
              </w:rPr>
            </w:pPr>
            <w:r w:rsidRPr="00702606">
              <w:rPr>
                <w:b/>
                <w:lang w:val="ru-RU"/>
              </w:rPr>
              <w:t>Ек.</w:t>
            </w:r>
          </w:p>
          <w:p w:rsidR="00D46A60" w:rsidRPr="00702606" w:rsidRDefault="00D46A60" w:rsidP="00D46A60">
            <w:pPr>
              <w:jc w:val="both"/>
              <w:rPr>
                <w:b/>
                <w:lang w:val="ru-RU"/>
              </w:rPr>
            </w:pPr>
            <w:r w:rsidRPr="00702606">
              <w:rPr>
                <w:b/>
                <w:lang w:val="ru-RU"/>
              </w:rPr>
              <w:t>кл.</w:t>
            </w:r>
          </w:p>
        </w:tc>
        <w:tc>
          <w:tcPr>
            <w:tcW w:w="3321" w:type="dxa"/>
            <w:vMerge w:val="restart"/>
          </w:tcPr>
          <w:p w:rsidR="00D46A60" w:rsidRPr="00702606" w:rsidRDefault="00D46A60" w:rsidP="00D46A60">
            <w:pPr>
              <w:jc w:val="center"/>
              <w:rPr>
                <w:b/>
                <w:lang w:val="ru-RU"/>
              </w:rPr>
            </w:pPr>
            <w:r w:rsidRPr="00702606">
              <w:rPr>
                <w:b/>
                <w:lang w:val="ru-RU"/>
              </w:rPr>
              <w:t>ОПИС</w:t>
            </w:r>
          </w:p>
        </w:tc>
        <w:tc>
          <w:tcPr>
            <w:tcW w:w="1299" w:type="dxa"/>
            <w:tcBorders>
              <w:bottom w:val="single" w:sz="4" w:space="0" w:color="auto"/>
              <w:right w:val="single" w:sz="4" w:space="0" w:color="auto"/>
            </w:tcBorders>
          </w:tcPr>
          <w:p w:rsidR="00D46A60" w:rsidRPr="00702606" w:rsidRDefault="00D46A60" w:rsidP="00D46A60">
            <w:pPr>
              <w:jc w:val="center"/>
              <w:rPr>
                <w:b/>
                <w:lang w:val="ru-RU"/>
              </w:rPr>
            </w:pPr>
            <w:r w:rsidRPr="00702606">
              <w:rPr>
                <w:b/>
                <w:lang w:val="ru-RU"/>
              </w:rPr>
              <w:t>Процена</w:t>
            </w:r>
          </w:p>
        </w:tc>
        <w:tc>
          <w:tcPr>
            <w:tcW w:w="4380" w:type="dxa"/>
            <w:gridSpan w:val="3"/>
            <w:tcBorders>
              <w:left w:val="single" w:sz="4" w:space="0" w:color="auto"/>
              <w:bottom w:val="single" w:sz="4" w:space="0" w:color="auto"/>
            </w:tcBorders>
          </w:tcPr>
          <w:p w:rsidR="00D46A60" w:rsidRPr="00702606" w:rsidRDefault="00D46A60" w:rsidP="00D46A60">
            <w:pPr>
              <w:jc w:val="center"/>
              <w:rPr>
                <w:b/>
                <w:lang w:val="ru-RU"/>
              </w:rPr>
            </w:pPr>
            <w:r w:rsidRPr="00702606">
              <w:rPr>
                <w:b/>
                <w:lang w:val="ru-RU"/>
              </w:rPr>
              <w:t>Пројекција</w:t>
            </w:r>
          </w:p>
        </w:tc>
      </w:tr>
      <w:tr w:rsidR="00D46A60" w:rsidTr="00D46A60">
        <w:trPr>
          <w:trHeight w:val="260"/>
        </w:trPr>
        <w:tc>
          <w:tcPr>
            <w:tcW w:w="576" w:type="dxa"/>
            <w:vMerge/>
          </w:tcPr>
          <w:p w:rsidR="00D46A60" w:rsidRDefault="00D46A60" w:rsidP="00D46A60">
            <w:pPr>
              <w:jc w:val="both"/>
              <w:rPr>
                <w:lang w:val="ru-RU"/>
              </w:rPr>
            </w:pPr>
          </w:p>
        </w:tc>
        <w:tc>
          <w:tcPr>
            <w:tcW w:w="3321" w:type="dxa"/>
            <w:vMerge/>
          </w:tcPr>
          <w:p w:rsidR="00D46A60" w:rsidRDefault="00D46A60" w:rsidP="00D46A60">
            <w:pPr>
              <w:jc w:val="center"/>
              <w:rPr>
                <w:lang w:val="ru-RU"/>
              </w:rPr>
            </w:pPr>
          </w:p>
        </w:tc>
        <w:tc>
          <w:tcPr>
            <w:tcW w:w="1299" w:type="dxa"/>
            <w:tcBorders>
              <w:top w:val="single" w:sz="4" w:space="0" w:color="auto"/>
              <w:right w:val="single" w:sz="4" w:space="0" w:color="auto"/>
            </w:tcBorders>
          </w:tcPr>
          <w:p w:rsidR="00D46A60" w:rsidRPr="00702606" w:rsidRDefault="00D46A60" w:rsidP="00D46A60">
            <w:pPr>
              <w:jc w:val="center"/>
              <w:rPr>
                <w:b/>
                <w:lang w:val="ru-RU"/>
              </w:rPr>
            </w:pPr>
            <w:r w:rsidRPr="00702606">
              <w:rPr>
                <w:b/>
                <w:lang w:val="ru-RU"/>
              </w:rPr>
              <w:t>201</w:t>
            </w:r>
            <w:r>
              <w:rPr>
                <w:b/>
                <w:lang w:val="en-US"/>
              </w:rPr>
              <w:t>7</w:t>
            </w:r>
            <w:r w:rsidRPr="00702606">
              <w:rPr>
                <w:b/>
                <w:lang w:val="ru-RU"/>
              </w:rPr>
              <w:t>.</w:t>
            </w:r>
          </w:p>
        </w:tc>
        <w:tc>
          <w:tcPr>
            <w:tcW w:w="1408" w:type="dxa"/>
            <w:tcBorders>
              <w:top w:val="single" w:sz="4" w:space="0" w:color="auto"/>
              <w:left w:val="single" w:sz="4" w:space="0" w:color="auto"/>
              <w:right w:val="single" w:sz="4" w:space="0" w:color="auto"/>
            </w:tcBorders>
          </w:tcPr>
          <w:p w:rsidR="00D46A60" w:rsidRPr="00702606" w:rsidRDefault="00D46A60" w:rsidP="00D46A60">
            <w:pPr>
              <w:jc w:val="center"/>
              <w:rPr>
                <w:b/>
                <w:lang w:val="ru-RU"/>
              </w:rPr>
            </w:pPr>
            <w:r w:rsidRPr="00702606">
              <w:rPr>
                <w:b/>
                <w:lang w:val="ru-RU"/>
              </w:rPr>
              <w:t>201</w:t>
            </w:r>
            <w:r>
              <w:rPr>
                <w:b/>
                <w:lang w:val="en-US"/>
              </w:rPr>
              <w:t>8</w:t>
            </w:r>
            <w:r w:rsidRPr="00702606">
              <w:rPr>
                <w:b/>
                <w:lang w:val="ru-RU"/>
              </w:rPr>
              <w:t>.</w:t>
            </w:r>
          </w:p>
        </w:tc>
        <w:tc>
          <w:tcPr>
            <w:tcW w:w="1348" w:type="dxa"/>
            <w:tcBorders>
              <w:top w:val="single" w:sz="4" w:space="0" w:color="auto"/>
              <w:left w:val="single" w:sz="4" w:space="0" w:color="auto"/>
              <w:right w:val="single" w:sz="4" w:space="0" w:color="auto"/>
            </w:tcBorders>
          </w:tcPr>
          <w:p w:rsidR="00D46A60" w:rsidRPr="00702606" w:rsidRDefault="00D46A60" w:rsidP="00D46A60">
            <w:pPr>
              <w:jc w:val="center"/>
              <w:rPr>
                <w:b/>
                <w:lang w:val="ru-RU"/>
              </w:rPr>
            </w:pPr>
            <w:r w:rsidRPr="00702606">
              <w:rPr>
                <w:b/>
                <w:lang w:val="ru-RU"/>
              </w:rPr>
              <w:t>201</w:t>
            </w:r>
            <w:r>
              <w:rPr>
                <w:b/>
                <w:lang w:val="en-US"/>
              </w:rPr>
              <w:t>9</w:t>
            </w:r>
            <w:r w:rsidRPr="00702606">
              <w:rPr>
                <w:b/>
                <w:lang w:val="ru-RU"/>
              </w:rPr>
              <w:t>.</w:t>
            </w:r>
          </w:p>
        </w:tc>
        <w:tc>
          <w:tcPr>
            <w:tcW w:w="1624" w:type="dxa"/>
            <w:tcBorders>
              <w:top w:val="single" w:sz="4" w:space="0" w:color="auto"/>
              <w:left w:val="single" w:sz="4" w:space="0" w:color="auto"/>
            </w:tcBorders>
          </w:tcPr>
          <w:p w:rsidR="00D46A60" w:rsidRPr="00702606" w:rsidRDefault="00D46A60" w:rsidP="00D46A60">
            <w:pPr>
              <w:jc w:val="center"/>
              <w:rPr>
                <w:b/>
                <w:lang w:val="ru-RU"/>
              </w:rPr>
            </w:pPr>
            <w:r w:rsidRPr="00702606">
              <w:rPr>
                <w:b/>
                <w:lang w:val="ru-RU"/>
              </w:rPr>
              <w:t>20</w:t>
            </w:r>
            <w:r>
              <w:rPr>
                <w:b/>
                <w:lang w:val="en-US"/>
              </w:rPr>
              <w:t>20</w:t>
            </w:r>
            <w:r w:rsidRPr="00702606">
              <w:rPr>
                <w:b/>
                <w:lang w:val="ru-RU"/>
              </w:rPr>
              <w:t>.</w:t>
            </w:r>
          </w:p>
        </w:tc>
      </w:tr>
      <w:tr w:rsidR="00D46A60" w:rsidRPr="00DF08A1" w:rsidTr="00D46A60">
        <w:trPr>
          <w:trHeight w:val="260"/>
        </w:trPr>
        <w:tc>
          <w:tcPr>
            <w:tcW w:w="576" w:type="dxa"/>
          </w:tcPr>
          <w:p w:rsidR="00D46A60" w:rsidRPr="00D46A60" w:rsidRDefault="00D46A60" w:rsidP="00D46A60">
            <w:pPr>
              <w:jc w:val="both"/>
              <w:rPr>
                <w:b/>
                <w:lang w:val="ru-RU"/>
              </w:rPr>
            </w:pPr>
            <w:r w:rsidRPr="00D46A60">
              <w:rPr>
                <w:b/>
                <w:lang w:val="ru-RU"/>
              </w:rPr>
              <w:t>400</w:t>
            </w:r>
          </w:p>
        </w:tc>
        <w:tc>
          <w:tcPr>
            <w:tcW w:w="3321" w:type="dxa"/>
          </w:tcPr>
          <w:p w:rsidR="00D46A60" w:rsidRPr="00D46A60" w:rsidRDefault="00D46A60" w:rsidP="00D46A60">
            <w:pPr>
              <w:jc w:val="both"/>
              <w:rPr>
                <w:b/>
                <w:lang w:val="ru-RU"/>
              </w:rPr>
            </w:pPr>
            <w:r w:rsidRPr="00D46A60">
              <w:rPr>
                <w:b/>
                <w:lang w:val="ru-RU"/>
              </w:rPr>
              <w:t>Текући расходи</w:t>
            </w:r>
          </w:p>
        </w:tc>
        <w:tc>
          <w:tcPr>
            <w:tcW w:w="1299" w:type="dxa"/>
            <w:tcBorders>
              <w:right w:val="single" w:sz="4" w:space="0" w:color="auto"/>
            </w:tcBorders>
          </w:tcPr>
          <w:p w:rsidR="00D46A60" w:rsidRPr="00D46A60" w:rsidRDefault="00D46A60" w:rsidP="00D46A60">
            <w:pPr>
              <w:jc w:val="right"/>
              <w:rPr>
                <w:b/>
                <w:lang w:val="ru-RU"/>
              </w:rPr>
            </w:pPr>
            <w:r w:rsidRPr="00D46A60">
              <w:rPr>
                <w:b/>
                <w:lang w:val="ru-RU"/>
              </w:rPr>
              <w:t>406.243</w:t>
            </w:r>
          </w:p>
        </w:tc>
        <w:tc>
          <w:tcPr>
            <w:tcW w:w="1408" w:type="dxa"/>
            <w:tcBorders>
              <w:left w:val="single" w:sz="4" w:space="0" w:color="auto"/>
              <w:right w:val="single" w:sz="4" w:space="0" w:color="auto"/>
            </w:tcBorders>
          </w:tcPr>
          <w:p w:rsidR="00D46A60" w:rsidRPr="00D46A60" w:rsidRDefault="00D46A60" w:rsidP="00D46A60">
            <w:pPr>
              <w:jc w:val="right"/>
              <w:rPr>
                <w:b/>
                <w:lang w:val="ru-RU"/>
              </w:rPr>
            </w:pPr>
            <w:r w:rsidRPr="00D46A60">
              <w:rPr>
                <w:b/>
                <w:lang w:val="ru-RU"/>
              </w:rPr>
              <w:t>382.000</w:t>
            </w:r>
          </w:p>
        </w:tc>
        <w:tc>
          <w:tcPr>
            <w:tcW w:w="1348" w:type="dxa"/>
            <w:tcBorders>
              <w:left w:val="single" w:sz="4" w:space="0" w:color="auto"/>
              <w:right w:val="single" w:sz="4" w:space="0" w:color="auto"/>
            </w:tcBorders>
          </w:tcPr>
          <w:p w:rsidR="00D46A60" w:rsidRPr="00D46A60" w:rsidRDefault="00D46A60" w:rsidP="00D46A60">
            <w:pPr>
              <w:jc w:val="right"/>
              <w:rPr>
                <w:b/>
                <w:lang w:val="ru-RU"/>
              </w:rPr>
            </w:pPr>
            <w:r w:rsidRPr="00D46A60">
              <w:rPr>
                <w:b/>
                <w:lang w:val="ru-RU"/>
              </w:rPr>
              <w:t>382.000</w:t>
            </w:r>
          </w:p>
        </w:tc>
        <w:tc>
          <w:tcPr>
            <w:tcW w:w="1624" w:type="dxa"/>
            <w:tcBorders>
              <w:left w:val="single" w:sz="4" w:space="0" w:color="auto"/>
            </w:tcBorders>
          </w:tcPr>
          <w:p w:rsidR="00D46A60" w:rsidRPr="00D46A60" w:rsidRDefault="00D46A60" w:rsidP="00D46A60">
            <w:pPr>
              <w:jc w:val="right"/>
              <w:rPr>
                <w:b/>
                <w:lang w:val="ru-RU"/>
              </w:rPr>
            </w:pPr>
            <w:r w:rsidRPr="00D46A60">
              <w:rPr>
                <w:b/>
                <w:lang w:val="ru-RU"/>
              </w:rPr>
              <w:t>382.000</w:t>
            </w:r>
          </w:p>
        </w:tc>
      </w:tr>
      <w:tr w:rsidR="00D46A60" w:rsidRPr="00DF08A1" w:rsidTr="00D46A60">
        <w:tc>
          <w:tcPr>
            <w:tcW w:w="576" w:type="dxa"/>
          </w:tcPr>
          <w:p w:rsidR="00D46A60" w:rsidRDefault="00D46A60" w:rsidP="00D46A60">
            <w:pPr>
              <w:jc w:val="both"/>
              <w:rPr>
                <w:lang w:val="ru-RU"/>
              </w:rPr>
            </w:pPr>
            <w:r>
              <w:rPr>
                <w:lang w:val="ru-RU"/>
              </w:rPr>
              <w:t>410</w:t>
            </w:r>
          </w:p>
        </w:tc>
        <w:tc>
          <w:tcPr>
            <w:tcW w:w="3321" w:type="dxa"/>
          </w:tcPr>
          <w:p w:rsidR="00D46A60" w:rsidRDefault="00D46A60" w:rsidP="00D46A60">
            <w:pPr>
              <w:jc w:val="both"/>
              <w:rPr>
                <w:lang w:val="ru-RU"/>
              </w:rPr>
            </w:pPr>
            <w:r>
              <w:rPr>
                <w:lang w:val="ru-RU"/>
              </w:rPr>
              <w:t>Расходи за запослене</w:t>
            </w:r>
          </w:p>
        </w:tc>
        <w:tc>
          <w:tcPr>
            <w:tcW w:w="1299" w:type="dxa"/>
            <w:tcBorders>
              <w:right w:val="single" w:sz="4" w:space="0" w:color="auto"/>
            </w:tcBorders>
          </w:tcPr>
          <w:p w:rsidR="00D46A60" w:rsidRDefault="00D46A60" w:rsidP="00D46A60">
            <w:pPr>
              <w:jc w:val="right"/>
              <w:rPr>
                <w:lang w:val="ru-RU"/>
              </w:rPr>
            </w:pPr>
            <w:r>
              <w:rPr>
                <w:lang w:val="ru-RU"/>
              </w:rPr>
              <w:t>99.051</w:t>
            </w:r>
          </w:p>
        </w:tc>
        <w:tc>
          <w:tcPr>
            <w:tcW w:w="1408" w:type="dxa"/>
            <w:tcBorders>
              <w:left w:val="single" w:sz="4" w:space="0" w:color="auto"/>
              <w:right w:val="single" w:sz="4" w:space="0" w:color="auto"/>
            </w:tcBorders>
          </w:tcPr>
          <w:p w:rsidR="00D46A60" w:rsidRDefault="00D46A60" w:rsidP="00D46A60">
            <w:pPr>
              <w:jc w:val="right"/>
              <w:rPr>
                <w:lang w:val="ru-RU"/>
              </w:rPr>
            </w:pPr>
            <w:r>
              <w:rPr>
                <w:lang w:val="ru-RU"/>
              </w:rPr>
              <w:t>98.000</w:t>
            </w:r>
          </w:p>
        </w:tc>
        <w:tc>
          <w:tcPr>
            <w:tcW w:w="1348" w:type="dxa"/>
            <w:tcBorders>
              <w:left w:val="single" w:sz="4" w:space="0" w:color="auto"/>
              <w:right w:val="single" w:sz="4" w:space="0" w:color="auto"/>
            </w:tcBorders>
          </w:tcPr>
          <w:p w:rsidR="00D46A60" w:rsidRDefault="00D46A60" w:rsidP="00D46A60">
            <w:pPr>
              <w:jc w:val="right"/>
              <w:rPr>
                <w:lang w:val="ru-RU"/>
              </w:rPr>
            </w:pPr>
            <w:r>
              <w:rPr>
                <w:lang w:val="ru-RU"/>
              </w:rPr>
              <w:t>98.000</w:t>
            </w:r>
          </w:p>
        </w:tc>
        <w:tc>
          <w:tcPr>
            <w:tcW w:w="1624" w:type="dxa"/>
            <w:tcBorders>
              <w:left w:val="single" w:sz="4" w:space="0" w:color="auto"/>
            </w:tcBorders>
          </w:tcPr>
          <w:p w:rsidR="00D46A60" w:rsidRDefault="00D46A60" w:rsidP="00D46A60">
            <w:pPr>
              <w:jc w:val="right"/>
              <w:rPr>
                <w:lang w:val="ru-RU"/>
              </w:rPr>
            </w:pPr>
            <w:r>
              <w:rPr>
                <w:lang w:val="ru-RU"/>
              </w:rPr>
              <w:t>98.000</w:t>
            </w:r>
          </w:p>
        </w:tc>
      </w:tr>
      <w:tr w:rsidR="00D46A60" w:rsidRPr="00DF08A1" w:rsidTr="00D46A60">
        <w:tc>
          <w:tcPr>
            <w:tcW w:w="576" w:type="dxa"/>
          </w:tcPr>
          <w:p w:rsidR="00D46A60" w:rsidRDefault="00D46A60" w:rsidP="00D46A60">
            <w:pPr>
              <w:jc w:val="both"/>
              <w:rPr>
                <w:lang w:val="ru-RU"/>
              </w:rPr>
            </w:pPr>
            <w:r>
              <w:rPr>
                <w:lang w:val="ru-RU"/>
              </w:rPr>
              <w:t>420</w:t>
            </w:r>
          </w:p>
        </w:tc>
        <w:tc>
          <w:tcPr>
            <w:tcW w:w="3321" w:type="dxa"/>
          </w:tcPr>
          <w:p w:rsidR="00D46A60" w:rsidRDefault="00D46A60" w:rsidP="00D46A60">
            <w:pPr>
              <w:jc w:val="both"/>
              <w:rPr>
                <w:lang w:val="ru-RU"/>
              </w:rPr>
            </w:pPr>
            <w:r>
              <w:rPr>
                <w:lang w:val="ru-RU"/>
              </w:rPr>
              <w:t>Коришћење робе и услуга</w:t>
            </w:r>
          </w:p>
        </w:tc>
        <w:tc>
          <w:tcPr>
            <w:tcW w:w="1299" w:type="dxa"/>
            <w:tcBorders>
              <w:right w:val="single" w:sz="4" w:space="0" w:color="auto"/>
            </w:tcBorders>
          </w:tcPr>
          <w:p w:rsidR="00D46A60" w:rsidRDefault="00D46A60" w:rsidP="00D46A60">
            <w:pPr>
              <w:jc w:val="right"/>
              <w:rPr>
                <w:lang w:val="ru-RU"/>
              </w:rPr>
            </w:pPr>
            <w:r>
              <w:rPr>
                <w:lang w:val="ru-RU"/>
              </w:rPr>
              <w:t>162.446</w:t>
            </w:r>
          </w:p>
        </w:tc>
        <w:tc>
          <w:tcPr>
            <w:tcW w:w="1408" w:type="dxa"/>
            <w:tcBorders>
              <w:left w:val="single" w:sz="4" w:space="0" w:color="auto"/>
              <w:right w:val="single" w:sz="4" w:space="0" w:color="auto"/>
            </w:tcBorders>
          </w:tcPr>
          <w:p w:rsidR="00D46A60" w:rsidRDefault="00D46A60" w:rsidP="00D46A60">
            <w:pPr>
              <w:jc w:val="right"/>
              <w:rPr>
                <w:lang w:val="ru-RU"/>
              </w:rPr>
            </w:pPr>
            <w:r>
              <w:rPr>
                <w:lang w:val="ru-RU"/>
              </w:rPr>
              <w:t>164.525</w:t>
            </w:r>
          </w:p>
        </w:tc>
        <w:tc>
          <w:tcPr>
            <w:tcW w:w="1348" w:type="dxa"/>
            <w:tcBorders>
              <w:left w:val="single" w:sz="4" w:space="0" w:color="auto"/>
              <w:right w:val="single" w:sz="4" w:space="0" w:color="auto"/>
            </w:tcBorders>
          </w:tcPr>
          <w:p w:rsidR="00D46A60" w:rsidRDefault="00D46A60" w:rsidP="00D46A60">
            <w:pPr>
              <w:jc w:val="right"/>
              <w:rPr>
                <w:lang w:val="ru-RU"/>
              </w:rPr>
            </w:pPr>
            <w:r>
              <w:rPr>
                <w:lang w:val="ru-RU"/>
              </w:rPr>
              <w:t>164.525</w:t>
            </w:r>
          </w:p>
        </w:tc>
        <w:tc>
          <w:tcPr>
            <w:tcW w:w="1624" w:type="dxa"/>
            <w:tcBorders>
              <w:left w:val="single" w:sz="4" w:space="0" w:color="auto"/>
            </w:tcBorders>
          </w:tcPr>
          <w:p w:rsidR="00D46A60" w:rsidRDefault="00D46A60" w:rsidP="00D46A60">
            <w:pPr>
              <w:jc w:val="right"/>
              <w:rPr>
                <w:lang w:val="ru-RU"/>
              </w:rPr>
            </w:pPr>
            <w:r>
              <w:rPr>
                <w:lang w:val="ru-RU"/>
              </w:rPr>
              <w:t>164.525</w:t>
            </w:r>
          </w:p>
        </w:tc>
      </w:tr>
      <w:tr w:rsidR="00D46A60" w:rsidRPr="00DF08A1" w:rsidTr="00D46A60">
        <w:tc>
          <w:tcPr>
            <w:tcW w:w="576" w:type="dxa"/>
          </w:tcPr>
          <w:p w:rsidR="00D46A60" w:rsidRDefault="00D46A60" w:rsidP="00D46A60">
            <w:pPr>
              <w:jc w:val="both"/>
              <w:rPr>
                <w:lang w:val="ru-RU"/>
              </w:rPr>
            </w:pPr>
            <w:r>
              <w:rPr>
                <w:lang w:val="ru-RU"/>
              </w:rPr>
              <w:t>440</w:t>
            </w:r>
          </w:p>
        </w:tc>
        <w:tc>
          <w:tcPr>
            <w:tcW w:w="3321" w:type="dxa"/>
          </w:tcPr>
          <w:p w:rsidR="00D46A60" w:rsidRDefault="00D46A60" w:rsidP="00D46A60">
            <w:pPr>
              <w:jc w:val="both"/>
              <w:rPr>
                <w:lang w:val="ru-RU"/>
              </w:rPr>
            </w:pPr>
            <w:r>
              <w:rPr>
                <w:lang w:val="ru-RU"/>
              </w:rPr>
              <w:t>Отплата камате</w:t>
            </w:r>
          </w:p>
        </w:tc>
        <w:tc>
          <w:tcPr>
            <w:tcW w:w="1299" w:type="dxa"/>
            <w:tcBorders>
              <w:right w:val="single" w:sz="4" w:space="0" w:color="auto"/>
            </w:tcBorders>
          </w:tcPr>
          <w:p w:rsidR="00D46A60" w:rsidRDefault="00D46A60" w:rsidP="00D46A60">
            <w:pPr>
              <w:jc w:val="right"/>
              <w:rPr>
                <w:lang w:val="ru-RU"/>
              </w:rPr>
            </w:pPr>
            <w:r>
              <w:rPr>
                <w:lang w:val="ru-RU"/>
              </w:rPr>
              <w:t>1.615.</w:t>
            </w:r>
          </w:p>
        </w:tc>
        <w:tc>
          <w:tcPr>
            <w:tcW w:w="1408" w:type="dxa"/>
            <w:tcBorders>
              <w:left w:val="single" w:sz="4" w:space="0" w:color="auto"/>
              <w:right w:val="single" w:sz="4" w:space="0" w:color="auto"/>
            </w:tcBorders>
          </w:tcPr>
          <w:p w:rsidR="00D46A60" w:rsidRDefault="00D46A60" w:rsidP="00D46A60">
            <w:pPr>
              <w:jc w:val="right"/>
              <w:rPr>
                <w:lang w:val="ru-RU"/>
              </w:rPr>
            </w:pPr>
            <w:r>
              <w:rPr>
                <w:lang w:val="ru-RU"/>
              </w:rPr>
              <w:t>1.615</w:t>
            </w:r>
          </w:p>
        </w:tc>
        <w:tc>
          <w:tcPr>
            <w:tcW w:w="1348" w:type="dxa"/>
            <w:tcBorders>
              <w:left w:val="single" w:sz="4" w:space="0" w:color="auto"/>
              <w:right w:val="single" w:sz="4" w:space="0" w:color="auto"/>
            </w:tcBorders>
          </w:tcPr>
          <w:p w:rsidR="00D46A60" w:rsidRDefault="00D46A60" w:rsidP="00D46A60">
            <w:pPr>
              <w:jc w:val="right"/>
              <w:rPr>
                <w:lang w:val="ru-RU"/>
              </w:rPr>
            </w:pPr>
            <w:r>
              <w:rPr>
                <w:lang w:val="ru-RU"/>
              </w:rPr>
              <w:t>1.615</w:t>
            </w:r>
          </w:p>
        </w:tc>
        <w:tc>
          <w:tcPr>
            <w:tcW w:w="1624" w:type="dxa"/>
            <w:tcBorders>
              <w:left w:val="single" w:sz="4" w:space="0" w:color="auto"/>
            </w:tcBorders>
          </w:tcPr>
          <w:p w:rsidR="00D46A60" w:rsidRDefault="00D46A60" w:rsidP="00D46A60">
            <w:pPr>
              <w:jc w:val="right"/>
              <w:rPr>
                <w:lang w:val="ru-RU"/>
              </w:rPr>
            </w:pPr>
            <w:r>
              <w:rPr>
                <w:lang w:val="ru-RU"/>
              </w:rPr>
              <w:t>1.615</w:t>
            </w:r>
          </w:p>
        </w:tc>
      </w:tr>
      <w:tr w:rsidR="00D46A60" w:rsidTr="00D46A60">
        <w:tc>
          <w:tcPr>
            <w:tcW w:w="576" w:type="dxa"/>
          </w:tcPr>
          <w:p w:rsidR="00D46A60" w:rsidRDefault="00D46A60" w:rsidP="00D46A60">
            <w:pPr>
              <w:jc w:val="both"/>
              <w:rPr>
                <w:lang w:val="ru-RU"/>
              </w:rPr>
            </w:pPr>
            <w:r>
              <w:rPr>
                <w:lang w:val="ru-RU"/>
              </w:rPr>
              <w:t>450</w:t>
            </w:r>
          </w:p>
        </w:tc>
        <w:tc>
          <w:tcPr>
            <w:tcW w:w="3321" w:type="dxa"/>
          </w:tcPr>
          <w:p w:rsidR="00D46A60" w:rsidRDefault="00D46A60" w:rsidP="00D46A60">
            <w:pPr>
              <w:jc w:val="both"/>
              <w:rPr>
                <w:lang w:val="ru-RU"/>
              </w:rPr>
            </w:pPr>
            <w:r>
              <w:rPr>
                <w:lang w:val="ru-RU"/>
              </w:rPr>
              <w:t>Субвенције</w:t>
            </w:r>
          </w:p>
        </w:tc>
        <w:tc>
          <w:tcPr>
            <w:tcW w:w="1299" w:type="dxa"/>
            <w:tcBorders>
              <w:right w:val="single" w:sz="4" w:space="0" w:color="auto"/>
            </w:tcBorders>
          </w:tcPr>
          <w:p w:rsidR="00D46A60" w:rsidRPr="00D46A60" w:rsidRDefault="00D46A60" w:rsidP="00D46A60">
            <w:pPr>
              <w:jc w:val="right"/>
              <w:rPr>
                <w:lang w:val="sr-Cyrl-CS"/>
              </w:rPr>
            </w:pPr>
            <w:r>
              <w:rPr>
                <w:lang w:val="sr-Cyrl-CS"/>
              </w:rPr>
              <w:t>17.500</w:t>
            </w:r>
          </w:p>
        </w:tc>
        <w:tc>
          <w:tcPr>
            <w:tcW w:w="1408" w:type="dxa"/>
            <w:tcBorders>
              <w:left w:val="single" w:sz="4" w:space="0" w:color="auto"/>
              <w:right w:val="single" w:sz="4" w:space="0" w:color="auto"/>
            </w:tcBorders>
          </w:tcPr>
          <w:p w:rsidR="00D46A60" w:rsidRDefault="00D46A60" w:rsidP="00D46A60">
            <w:pPr>
              <w:jc w:val="right"/>
              <w:rPr>
                <w:lang w:val="ru-RU"/>
              </w:rPr>
            </w:pPr>
            <w:r>
              <w:rPr>
                <w:lang w:val="ru-RU"/>
              </w:rPr>
              <w:t>14.000</w:t>
            </w:r>
          </w:p>
        </w:tc>
        <w:tc>
          <w:tcPr>
            <w:tcW w:w="1348" w:type="dxa"/>
            <w:tcBorders>
              <w:left w:val="single" w:sz="4" w:space="0" w:color="auto"/>
              <w:right w:val="single" w:sz="4" w:space="0" w:color="auto"/>
            </w:tcBorders>
          </w:tcPr>
          <w:p w:rsidR="00D46A60" w:rsidRDefault="00D46A60" w:rsidP="00D46A60">
            <w:pPr>
              <w:jc w:val="right"/>
              <w:rPr>
                <w:lang w:val="ru-RU"/>
              </w:rPr>
            </w:pPr>
            <w:r>
              <w:rPr>
                <w:lang w:val="ru-RU"/>
              </w:rPr>
              <w:t>14.000</w:t>
            </w:r>
          </w:p>
        </w:tc>
        <w:tc>
          <w:tcPr>
            <w:tcW w:w="1624" w:type="dxa"/>
            <w:tcBorders>
              <w:left w:val="single" w:sz="4" w:space="0" w:color="auto"/>
            </w:tcBorders>
          </w:tcPr>
          <w:p w:rsidR="00D46A60" w:rsidRDefault="00D46A60" w:rsidP="00D46A60">
            <w:pPr>
              <w:jc w:val="right"/>
              <w:rPr>
                <w:lang w:val="ru-RU"/>
              </w:rPr>
            </w:pPr>
            <w:r>
              <w:rPr>
                <w:lang w:val="ru-RU"/>
              </w:rPr>
              <w:t>14.000</w:t>
            </w:r>
          </w:p>
        </w:tc>
      </w:tr>
      <w:tr w:rsidR="00D46A60" w:rsidTr="00D46A60">
        <w:tc>
          <w:tcPr>
            <w:tcW w:w="576" w:type="dxa"/>
          </w:tcPr>
          <w:p w:rsidR="00D46A60" w:rsidRDefault="00D46A60" w:rsidP="00D46A60">
            <w:pPr>
              <w:jc w:val="both"/>
              <w:rPr>
                <w:lang w:val="ru-RU"/>
              </w:rPr>
            </w:pPr>
            <w:r>
              <w:rPr>
                <w:lang w:val="ru-RU"/>
              </w:rPr>
              <w:t>460</w:t>
            </w:r>
          </w:p>
        </w:tc>
        <w:tc>
          <w:tcPr>
            <w:tcW w:w="3321" w:type="dxa"/>
          </w:tcPr>
          <w:p w:rsidR="00D46A60" w:rsidRDefault="00D46A60" w:rsidP="00D46A60">
            <w:pPr>
              <w:jc w:val="both"/>
              <w:rPr>
                <w:lang w:val="ru-RU"/>
              </w:rPr>
            </w:pPr>
            <w:r>
              <w:rPr>
                <w:lang w:val="ru-RU"/>
              </w:rPr>
              <w:t xml:space="preserve">Донације и трансфеи </w:t>
            </w:r>
          </w:p>
        </w:tc>
        <w:tc>
          <w:tcPr>
            <w:tcW w:w="1299" w:type="dxa"/>
            <w:tcBorders>
              <w:right w:val="single" w:sz="4" w:space="0" w:color="auto"/>
            </w:tcBorders>
          </w:tcPr>
          <w:p w:rsidR="00D46A60" w:rsidRDefault="00D46A60" w:rsidP="00D46A60">
            <w:pPr>
              <w:jc w:val="right"/>
              <w:rPr>
                <w:lang w:val="ru-RU"/>
              </w:rPr>
            </w:pPr>
            <w:r>
              <w:rPr>
                <w:lang w:val="ru-RU"/>
              </w:rPr>
              <w:t>90.731</w:t>
            </w:r>
          </w:p>
        </w:tc>
        <w:tc>
          <w:tcPr>
            <w:tcW w:w="1408" w:type="dxa"/>
            <w:tcBorders>
              <w:left w:val="single" w:sz="4" w:space="0" w:color="auto"/>
              <w:right w:val="single" w:sz="4" w:space="0" w:color="auto"/>
            </w:tcBorders>
          </w:tcPr>
          <w:p w:rsidR="00D46A60" w:rsidRDefault="00D46A60" w:rsidP="00D46A60">
            <w:pPr>
              <w:jc w:val="right"/>
              <w:rPr>
                <w:lang w:val="ru-RU"/>
              </w:rPr>
            </w:pPr>
            <w:r>
              <w:rPr>
                <w:lang w:val="ru-RU"/>
              </w:rPr>
              <w:t>90.000</w:t>
            </w:r>
          </w:p>
        </w:tc>
        <w:tc>
          <w:tcPr>
            <w:tcW w:w="1348" w:type="dxa"/>
            <w:tcBorders>
              <w:left w:val="single" w:sz="4" w:space="0" w:color="auto"/>
              <w:right w:val="single" w:sz="4" w:space="0" w:color="auto"/>
            </w:tcBorders>
          </w:tcPr>
          <w:p w:rsidR="00D46A60" w:rsidRDefault="00D46A60" w:rsidP="00D46A60">
            <w:pPr>
              <w:jc w:val="right"/>
              <w:rPr>
                <w:lang w:val="ru-RU"/>
              </w:rPr>
            </w:pPr>
            <w:r>
              <w:rPr>
                <w:lang w:val="ru-RU"/>
              </w:rPr>
              <w:t>90.000</w:t>
            </w:r>
          </w:p>
        </w:tc>
        <w:tc>
          <w:tcPr>
            <w:tcW w:w="1624" w:type="dxa"/>
            <w:tcBorders>
              <w:left w:val="single" w:sz="4" w:space="0" w:color="auto"/>
            </w:tcBorders>
          </w:tcPr>
          <w:p w:rsidR="00D46A60" w:rsidRDefault="00D46A60" w:rsidP="00D46A60">
            <w:pPr>
              <w:jc w:val="right"/>
              <w:rPr>
                <w:lang w:val="ru-RU"/>
              </w:rPr>
            </w:pPr>
            <w:r>
              <w:rPr>
                <w:lang w:val="ru-RU"/>
              </w:rPr>
              <w:t>90.000</w:t>
            </w:r>
          </w:p>
        </w:tc>
      </w:tr>
      <w:tr w:rsidR="00D46A60" w:rsidRPr="00DF08A1" w:rsidTr="00D46A60">
        <w:tc>
          <w:tcPr>
            <w:tcW w:w="576" w:type="dxa"/>
          </w:tcPr>
          <w:p w:rsidR="00D46A60" w:rsidRDefault="00D46A60" w:rsidP="00D46A60">
            <w:pPr>
              <w:jc w:val="both"/>
              <w:rPr>
                <w:lang w:val="ru-RU"/>
              </w:rPr>
            </w:pPr>
            <w:r>
              <w:rPr>
                <w:lang w:val="ru-RU"/>
              </w:rPr>
              <w:t>470</w:t>
            </w:r>
          </w:p>
        </w:tc>
        <w:tc>
          <w:tcPr>
            <w:tcW w:w="3321" w:type="dxa"/>
          </w:tcPr>
          <w:p w:rsidR="00D46A60" w:rsidRDefault="00D46A60" w:rsidP="00D46A60">
            <w:pPr>
              <w:jc w:val="both"/>
              <w:rPr>
                <w:lang w:val="ru-RU"/>
              </w:rPr>
            </w:pPr>
            <w:r>
              <w:rPr>
                <w:lang w:val="ru-RU"/>
              </w:rPr>
              <w:t xml:space="preserve">Социјална </w:t>
            </w:r>
            <w:r w:rsidR="008D4763">
              <w:rPr>
                <w:lang w:val="ru-RU"/>
              </w:rPr>
              <w:t>заштита</w:t>
            </w:r>
          </w:p>
        </w:tc>
        <w:tc>
          <w:tcPr>
            <w:tcW w:w="1299" w:type="dxa"/>
            <w:tcBorders>
              <w:right w:val="single" w:sz="4" w:space="0" w:color="auto"/>
            </w:tcBorders>
          </w:tcPr>
          <w:p w:rsidR="00D46A60" w:rsidRDefault="008D4763" w:rsidP="008D4763">
            <w:pPr>
              <w:jc w:val="right"/>
              <w:rPr>
                <w:lang w:val="ru-RU"/>
              </w:rPr>
            </w:pPr>
            <w:r>
              <w:rPr>
                <w:lang w:val="ru-RU"/>
              </w:rPr>
              <w:t>9.</w:t>
            </w:r>
            <w:r w:rsidR="00D46A60">
              <w:rPr>
                <w:lang w:val="ru-RU"/>
              </w:rPr>
              <w:t>100</w:t>
            </w:r>
          </w:p>
        </w:tc>
        <w:tc>
          <w:tcPr>
            <w:tcW w:w="1408" w:type="dxa"/>
            <w:tcBorders>
              <w:left w:val="single" w:sz="4" w:space="0" w:color="auto"/>
              <w:right w:val="single" w:sz="4" w:space="0" w:color="auto"/>
            </w:tcBorders>
          </w:tcPr>
          <w:p w:rsidR="00D46A60" w:rsidRDefault="008D4763" w:rsidP="00D46A60">
            <w:pPr>
              <w:jc w:val="right"/>
              <w:rPr>
                <w:lang w:val="ru-RU"/>
              </w:rPr>
            </w:pPr>
            <w:r>
              <w:rPr>
                <w:lang w:val="ru-RU"/>
              </w:rPr>
              <w:t>9</w:t>
            </w:r>
            <w:r w:rsidR="00D46A60">
              <w:rPr>
                <w:lang w:val="ru-RU"/>
              </w:rPr>
              <w:t>.000</w:t>
            </w:r>
          </w:p>
        </w:tc>
        <w:tc>
          <w:tcPr>
            <w:tcW w:w="1348" w:type="dxa"/>
            <w:tcBorders>
              <w:left w:val="single" w:sz="4" w:space="0" w:color="auto"/>
              <w:right w:val="single" w:sz="4" w:space="0" w:color="auto"/>
            </w:tcBorders>
          </w:tcPr>
          <w:p w:rsidR="00D46A60" w:rsidRDefault="008D4763" w:rsidP="008D4763">
            <w:pPr>
              <w:jc w:val="right"/>
              <w:rPr>
                <w:lang w:val="ru-RU"/>
              </w:rPr>
            </w:pPr>
            <w:r>
              <w:rPr>
                <w:lang w:val="ru-RU"/>
              </w:rPr>
              <w:t>9</w:t>
            </w:r>
            <w:r w:rsidR="00D46A60">
              <w:rPr>
                <w:lang w:val="ru-RU"/>
              </w:rPr>
              <w:t>.</w:t>
            </w:r>
            <w:r>
              <w:rPr>
                <w:lang w:val="ru-RU"/>
              </w:rPr>
              <w:t>0</w:t>
            </w:r>
            <w:r w:rsidR="00D46A60">
              <w:rPr>
                <w:lang w:val="ru-RU"/>
              </w:rPr>
              <w:t>00</w:t>
            </w:r>
          </w:p>
        </w:tc>
        <w:tc>
          <w:tcPr>
            <w:tcW w:w="1624" w:type="dxa"/>
            <w:tcBorders>
              <w:left w:val="single" w:sz="4" w:space="0" w:color="auto"/>
            </w:tcBorders>
          </w:tcPr>
          <w:p w:rsidR="00D46A60" w:rsidRDefault="008D4763" w:rsidP="00D46A60">
            <w:pPr>
              <w:jc w:val="right"/>
              <w:rPr>
                <w:lang w:val="ru-RU"/>
              </w:rPr>
            </w:pPr>
            <w:r>
              <w:rPr>
                <w:lang w:val="ru-RU"/>
              </w:rPr>
              <w:t>9</w:t>
            </w:r>
            <w:r w:rsidR="00D46A60">
              <w:rPr>
                <w:lang w:val="ru-RU"/>
              </w:rPr>
              <w:t>.000</w:t>
            </w:r>
          </w:p>
        </w:tc>
      </w:tr>
      <w:tr w:rsidR="00D46A60" w:rsidRPr="00DF08A1" w:rsidTr="00D46A60">
        <w:tc>
          <w:tcPr>
            <w:tcW w:w="576" w:type="dxa"/>
          </w:tcPr>
          <w:p w:rsidR="00D46A60" w:rsidRDefault="008D4763" w:rsidP="00D46A60">
            <w:pPr>
              <w:jc w:val="both"/>
              <w:rPr>
                <w:lang w:val="ru-RU"/>
              </w:rPr>
            </w:pPr>
            <w:r>
              <w:rPr>
                <w:lang w:val="ru-RU"/>
              </w:rPr>
              <w:t>480</w:t>
            </w:r>
          </w:p>
        </w:tc>
        <w:tc>
          <w:tcPr>
            <w:tcW w:w="3321" w:type="dxa"/>
          </w:tcPr>
          <w:p w:rsidR="00D46A60" w:rsidRDefault="008D4763" w:rsidP="00D46A60">
            <w:pPr>
              <w:jc w:val="both"/>
              <w:rPr>
                <w:lang w:val="ru-RU"/>
              </w:rPr>
            </w:pPr>
            <w:r>
              <w:rPr>
                <w:lang w:val="ru-RU"/>
              </w:rPr>
              <w:t>Остали расходи</w:t>
            </w:r>
          </w:p>
        </w:tc>
        <w:tc>
          <w:tcPr>
            <w:tcW w:w="1299" w:type="dxa"/>
            <w:tcBorders>
              <w:right w:val="single" w:sz="4" w:space="0" w:color="auto"/>
            </w:tcBorders>
          </w:tcPr>
          <w:p w:rsidR="00D46A60" w:rsidRPr="008D4763" w:rsidRDefault="008D4763" w:rsidP="00D46A60">
            <w:pPr>
              <w:jc w:val="right"/>
              <w:rPr>
                <w:lang w:val="sr-Cyrl-CS"/>
              </w:rPr>
            </w:pPr>
            <w:r>
              <w:rPr>
                <w:lang w:val="sr-Cyrl-CS"/>
              </w:rPr>
              <w:t>21.100</w:t>
            </w:r>
          </w:p>
        </w:tc>
        <w:tc>
          <w:tcPr>
            <w:tcW w:w="1408" w:type="dxa"/>
            <w:tcBorders>
              <w:left w:val="single" w:sz="4" w:space="0" w:color="auto"/>
              <w:right w:val="single" w:sz="4" w:space="0" w:color="auto"/>
            </w:tcBorders>
          </w:tcPr>
          <w:p w:rsidR="00D46A60" w:rsidRPr="00141FC1" w:rsidRDefault="008D4763" w:rsidP="00D46A60">
            <w:pPr>
              <w:jc w:val="right"/>
              <w:rPr>
                <w:lang w:val="en-US"/>
              </w:rPr>
            </w:pPr>
            <w:r>
              <w:rPr>
                <w:lang w:val="sr-Cyrl-CS"/>
              </w:rPr>
              <w:t>15</w:t>
            </w:r>
            <w:r w:rsidR="00D46A60">
              <w:rPr>
                <w:lang w:val="en-US"/>
              </w:rPr>
              <w:t>.000</w:t>
            </w:r>
          </w:p>
        </w:tc>
        <w:tc>
          <w:tcPr>
            <w:tcW w:w="1348" w:type="dxa"/>
            <w:tcBorders>
              <w:left w:val="single" w:sz="4" w:space="0" w:color="auto"/>
              <w:right w:val="single" w:sz="4" w:space="0" w:color="auto"/>
            </w:tcBorders>
          </w:tcPr>
          <w:p w:rsidR="00D46A60" w:rsidRDefault="008D4763" w:rsidP="00D46A60">
            <w:pPr>
              <w:jc w:val="right"/>
              <w:rPr>
                <w:lang w:val="ru-RU"/>
              </w:rPr>
            </w:pPr>
            <w:r>
              <w:rPr>
                <w:lang w:val="ru-RU"/>
              </w:rPr>
              <w:t>15.000</w:t>
            </w:r>
          </w:p>
        </w:tc>
        <w:tc>
          <w:tcPr>
            <w:tcW w:w="1624" w:type="dxa"/>
            <w:tcBorders>
              <w:left w:val="single" w:sz="4" w:space="0" w:color="auto"/>
            </w:tcBorders>
          </w:tcPr>
          <w:p w:rsidR="00D46A60" w:rsidRDefault="008D4763" w:rsidP="00D46A60">
            <w:pPr>
              <w:jc w:val="right"/>
              <w:rPr>
                <w:lang w:val="ru-RU"/>
              </w:rPr>
            </w:pPr>
            <w:r>
              <w:rPr>
                <w:lang w:val="ru-RU"/>
              </w:rPr>
              <w:t>15.000</w:t>
            </w:r>
          </w:p>
        </w:tc>
      </w:tr>
      <w:tr w:rsidR="00D46A60" w:rsidRPr="003F08FF" w:rsidTr="00D46A60">
        <w:tc>
          <w:tcPr>
            <w:tcW w:w="576" w:type="dxa"/>
          </w:tcPr>
          <w:p w:rsidR="00D46A60" w:rsidRDefault="008D4763" w:rsidP="00D46A60">
            <w:pPr>
              <w:jc w:val="both"/>
              <w:rPr>
                <w:lang w:val="ru-RU"/>
              </w:rPr>
            </w:pPr>
            <w:r>
              <w:rPr>
                <w:lang w:val="ru-RU"/>
              </w:rPr>
              <w:t>490</w:t>
            </w:r>
          </w:p>
        </w:tc>
        <w:tc>
          <w:tcPr>
            <w:tcW w:w="3321" w:type="dxa"/>
          </w:tcPr>
          <w:p w:rsidR="00D46A60" w:rsidRDefault="008D4763" w:rsidP="00D46A60">
            <w:pPr>
              <w:jc w:val="both"/>
              <w:rPr>
                <w:lang w:val="ru-RU"/>
              </w:rPr>
            </w:pPr>
            <w:r>
              <w:rPr>
                <w:lang w:val="ru-RU"/>
              </w:rPr>
              <w:t>Средства резерви</w:t>
            </w:r>
          </w:p>
        </w:tc>
        <w:tc>
          <w:tcPr>
            <w:tcW w:w="1299" w:type="dxa"/>
            <w:tcBorders>
              <w:right w:val="single" w:sz="4" w:space="0" w:color="auto"/>
            </w:tcBorders>
          </w:tcPr>
          <w:p w:rsidR="00D46A60" w:rsidRDefault="008D4763" w:rsidP="00D46A60">
            <w:pPr>
              <w:jc w:val="right"/>
              <w:rPr>
                <w:lang w:val="ru-RU"/>
              </w:rPr>
            </w:pPr>
            <w:r>
              <w:rPr>
                <w:lang w:val="ru-RU"/>
              </w:rPr>
              <w:t>5.000</w:t>
            </w:r>
          </w:p>
        </w:tc>
        <w:tc>
          <w:tcPr>
            <w:tcW w:w="1408" w:type="dxa"/>
            <w:tcBorders>
              <w:left w:val="single" w:sz="4" w:space="0" w:color="auto"/>
              <w:right w:val="single" w:sz="4" w:space="0" w:color="auto"/>
            </w:tcBorders>
          </w:tcPr>
          <w:p w:rsidR="00D46A60" w:rsidRDefault="008D4763" w:rsidP="00D46A60">
            <w:pPr>
              <w:jc w:val="right"/>
              <w:rPr>
                <w:lang w:val="ru-RU"/>
              </w:rPr>
            </w:pPr>
            <w:r>
              <w:rPr>
                <w:lang w:val="ru-RU"/>
              </w:rPr>
              <w:t>5.000</w:t>
            </w:r>
          </w:p>
        </w:tc>
        <w:tc>
          <w:tcPr>
            <w:tcW w:w="1348" w:type="dxa"/>
            <w:tcBorders>
              <w:left w:val="single" w:sz="4" w:space="0" w:color="auto"/>
              <w:right w:val="single" w:sz="4" w:space="0" w:color="auto"/>
            </w:tcBorders>
          </w:tcPr>
          <w:p w:rsidR="00D46A60" w:rsidRDefault="008D4763" w:rsidP="00D46A60">
            <w:pPr>
              <w:jc w:val="right"/>
              <w:rPr>
                <w:lang w:val="ru-RU"/>
              </w:rPr>
            </w:pPr>
            <w:r>
              <w:rPr>
                <w:lang w:val="ru-RU"/>
              </w:rPr>
              <w:t>5.000</w:t>
            </w:r>
          </w:p>
        </w:tc>
        <w:tc>
          <w:tcPr>
            <w:tcW w:w="1624" w:type="dxa"/>
            <w:tcBorders>
              <w:left w:val="single" w:sz="4" w:space="0" w:color="auto"/>
            </w:tcBorders>
          </w:tcPr>
          <w:p w:rsidR="00D46A60" w:rsidRDefault="008D4763" w:rsidP="00D46A60">
            <w:pPr>
              <w:jc w:val="right"/>
              <w:rPr>
                <w:lang w:val="ru-RU"/>
              </w:rPr>
            </w:pPr>
            <w:r>
              <w:rPr>
                <w:lang w:val="ru-RU"/>
              </w:rPr>
              <w:t>5.000</w:t>
            </w:r>
          </w:p>
        </w:tc>
      </w:tr>
      <w:tr w:rsidR="008D4763" w:rsidRPr="003F08FF" w:rsidTr="00D46A60">
        <w:tc>
          <w:tcPr>
            <w:tcW w:w="576" w:type="dxa"/>
          </w:tcPr>
          <w:p w:rsidR="008D4763" w:rsidRPr="008D4763" w:rsidRDefault="008D4763" w:rsidP="00D46A60">
            <w:pPr>
              <w:jc w:val="both"/>
              <w:rPr>
                <w:b/>
                <w:lang w:val="ru-RU"/>
              </w:rPr>
            </w:pPr>
            <w:r w:rsidRPr="008D4763">
              <w:rPr>
                <w:b/>
                <w:lang w:val="ru-RU"/>
              </w:rPr>
              <w:lastRenderedPageBreak/>
              <w:t>500</w:t>
            </w:r>
          </w:p>
        </w:tc>
        <w:tc>
          <w:tcPr>
            <w:tcW w:w="3321" w:type="dxa"/>
          </w:tcPr>
          <w:p w:rsidR="008D4763" w:rsidRPr="008D4763" w:rsidRDefault="008D4763" w:rsidP="00D46A60">
            <w:pPr>
              <w:jc w:val="both"/>
              <w:rPr>
                <w:b/>
                <w:lang w:val="ru-RU"/>
              </w:rPr>
            </w:pPr>
            <w:r w:rsidRPr="008D4763">
              <w:rPr>
                <w:b/>
                <w:lang w:val="ru-RU"/>
              </w:rPr>
              <w:t>Издаци за нефинансијску имовину</w:t>
            </w:r>
          </w:p>
        </w:tc>
        <w:tc>
          <w:tcPr>
            <w:tcW w:w="1299" w:type="dxa"/>
            <w:tcBorders>
              <w:right w:val="single" w:sz="4" w:space="0" w:color="auto"/>
            </w:tcBorders>
          </w:tcPr>
          <w:p w:rsidR="008D4763" w:rsidRPr="008D4763" w:rsidRDefault="008D4763" w:rsidP="00D46A60">
            <w:pPr>
              <w:jc w:val="right"/>
              <w:rPr>
                <w:b/>
                <w:lang w:val="ru-RU"/>
              </w:rPr>
            </w:pPr>
            <w:r w:rsidRPr="008D4763">
              <w:rPr>
                <w:b/>
                <w:lang w:val="ru-RU"/>
              </w:rPr>
              <w:t>51.965</w:t>
            </w:r>
          </w:p>
        </w:tc>
        <w:tc>
          <w:tcPr>
            <w:tcW w:w="1408" w:type="dxa"/>
            <w:tcBorders>
              <w:left w:val="single" w:sz="4" w:space="0" w:color="auto"/>
              <w:right w:val="single" w:sz="4" w:space="0" w:color="auto"/>
            </w:tcBorders>
          </w:tcPr>
          <w:p w:rsidR="008D4763" w:rsidRPr="008D4763" w:rsidRDefault="008D4763" w:rsidP="00D46A60">
            <w:pPr>
              <w:jc w:val="right"/>
              <w:rPr>
                <w:b/>
                <w:lang w:val="ru-RU"/>
              </w:rPr>
            </w:pPr>
            <w:r w:rsidRPr="008D4763">
              <w:rPr>
                <w:b/>
                <w:lang w:val="ru-RU"/>
              </w:rPr>
              <w:t>52.000</w:t>
            </w:r>
          </w:p>
        </w:tc>
        <w:tc>
          <w:tcPr>
            <w:tcW w:w="1348" w:type="dxa"/>
            <w:tcBorders>
              <w:left w:val="single" w:sz="4" w:space="0" w:color="auto"/>
              <w:right w:val="single" w:sz="4" w:space="0" w:color="auto"/>
            </w:tcBorders>
          </w:tcPr>
          <w:p w:rsidR="008D4763" w:rsidRPr="008D4763" w:rsidRDefault="008D4763" w:rsidP="00D46A60">
            <w:pPr>
              <w:jc w:val="right"/>
              <w:rPr>
                <w:b/>
                <w:lang w:val="ru-RU"/>
              </w:rPr>
            </w:pPr>
            <w:r w:rsidRPr="008D4763">
              <w:rPr>
                <w:b/>
                <w:lang w:val="ru-RU"/>
              </w:rPr>
              <w:t>52.500</w:t>
            </w:r>
          </w:p>
        </w:tc>
        <w:tc>
          <w:tcPr>
            <w:tcW w:w="1624" w:type="dxa"/>
            <w:tcBorders>
              <w:left w:val="single" w:sz="4" w:space="0" w:color="auto"/>
            </w:tcBorders>
          </w:tcPr>
          <w:p w:rsidR="008D4763" w:rsidRPr="008D4763" w:rsidRDefault="008D4763" w:rsidP="00D46A60">
            <w:pPr>
              <w:jc w:val="right"/>
              <w:rPr>
                <w:b/>
                <w:lang w:val="ru-RU"/>
              </w:rPr>
            </w:pPr>
            <w:r>
              <w:rPr>
                <w:b/>
                <w:lang w:val="ru-RU"/>
              </w:rPr>
              <w:t>54.500</w:t>
            </w:r>
          </w:p>
        </w:tc>
      </w:tr>
      <w:tr w:rsidR="00D46A60" w:rsidRPr="00C36A77" w:rsidTr="00D46A60">
        <w:tc>
          <w:tcPr>
            <w:tcW w:w="576" w:type="dxa"/>
          </w:tcPr>
          <w:p w:rsidR="00D46A60" w:rsidRDefault="008D4763" w:rsidP="00D46A60">
            <w:pPr>
              <w:jc w:val="both"/>
              <w:rPr>
                <w:lang w:val="ru-RU"/>
              </w:rPr>
            </w:pPr>
            <w:r>
              <w:rPr>
                <w:lang w:val="ru-RU"/>
              </w:rPr>
              <w:t>510</w:t>
            </w:r>
          </w:p>
        </w:tc>
        <w:tc>
          <w:tcPr>
            <w:tcW w:w="3321" w:type="dxa"/>
          </w:tcPr>
          <w:p w:rsidR="00D46A60" w:rsidRDefault="008D4763" w:rsidP="00D46A60">
            <w:pPr>
              <w:rPr>
                <w:lang w:val="ru-RU"/>
              </w:rPr>
            </w:pPr>
            <w:r>
              <w:rPr>
                <w:lang w:val="ru-RU"/>
              </w:rPr>
              <w:t>Основна средства</w:t>
            </w:r>
          </w:p>
        </w:tc>
        <w:tc>
          <w:tcPr>
            <w:tcW w:w="1299" w:type="dxa"/>
            <w:tcBorders>
              <w:right w:val="single" w:sz="4" w:space="0" w:color="auto"/>
            </w:tcBorders>
          </w:tcPr>
          <w:p w:rsidR="00D46A60" w:rsidRPr="008D4763" w:rsidRDefault="008D4763" w:rsidP="00D46A60">
            <w:pPr>
              <w:jc w:val="right"/>
              <w:rPr>
                <w:lang w:val="sr-Cyrl-CS"/>
              </w:rPr>
            </w:pPr>
            <w:r>
              <w:rPr>
                <w:lang w:val="sr-Cyrl-CS"/>
              </w:rPr>
              <w:t>50.965</w:t>
            </w:r>
          </w:p>
        </w:tc>
        <w:tc>
          <w:tcPr>
            <w:tcW w:w="1408" w:type="dxa"/>
            <w:tcBorders>
              <w:left w:val="single" w:sz="4" w:space="0" w:color="auto"/>
              <w:right w:val="single" w:sz="4" w:space="0" w:color="auto"/>
            </w:tcBorders>
          </w:tcPr>
          <w:p w:rsidR="00D46A60" w:rsidRDefault="008D4763" w:rsidP="00D46A60">
            <w:pPr>
              <w:jc w:val="right"/>
              <w:rPr>
                <w:lang w:val="ru-RU"/>
              </w:rPr>
            </w:pPr>
            <w:r>
              <w:rPr>
                <w:lang w:val="ru-RU"/>
              </w:rPr>
              <w:t>51.000</w:t>
            </w:r>
          </w:p>
        </w:tc>
        <w:tc>
          <w:tcPr>
            <w:tcW w:w="1348" w:type="dxa"/>
            <w:tcBorders>
              <w:left w:val="single" w:sz="4" w:space="0" w:color="auto"/>
              <w:right w:val="single" w:sz="4" w:space="0" w:color="auto"/>
            </w:tcBorders>
          </w:tcPr>
          <w:p w:rsidR="00D46A60" w:rsidRDefault="008D4763" w:rsidP="00D46A60">
            <w:pPr>
              <w:jc w:val="right"/>
              <w:rPr>
                <w:lang w:val="ru-RU"/>
              </w:rPr>
            </w:pPr>
            <w:r>
              <w:rPr>
                <w:lang w:val="ru-RU"/>
              </w:rPr>
              <w:t>52.000</w:t>
            </w:r>
          </w:p>
        </w:tc>
        <w:tc>
          <w:tcPr>
            <w:tcW w:w="1624" w:type="dxa"/>
            <w:tcBorders>
              <w:left w:val="single" w:sz="4" w:space="0" w:color="auto"/>
            </w:tcBorders>
          </w:tcPr>
          <w:p w:rsidR="00D46A60" w:rsidRDefault="008D4763" w:rsidP="00D46A60">
            <w:pPr>
              <w:jc w:val="right"/>
              <w:rPr>
                <w:lang w:val="ru-RU"/>
              </w:rPr>
            </w:pPr>
            <w:r>
              <w:rPr>
                <w:lang w:val="ru-RU"/>
              </w:rPr>
              <w:t>54.000</w:t>
            </w:r>
          </w:p>
        </w:tc>
      </w:tr>
      <w:tr w:rsidR="00D46A60" w:rsidRPr="00C36A77" w:rsidTr="008D4763">
        <w:trPr>
          <w:trHeight w:val="476"/>
        </w:trPr>
        <w:tc>
          <w:tcPr>
            <w:tcW w:w="576" w:type="dxa"/>
          </w:tcPr>
          <w:p w:rsidR="00D46A60" w:rsidRDefault="008D4763" w:rsidP="00D46A60">
            <w:pPr>
              <w:jc w:val="both"/>
              <w:rPr>
                <w:lang w:val="ru-RU"/>
              </w:rPr>
            </w:pPr>
            <w:r>
              <w:rPr>
                <w:lang w:val="ru-RU"/>
              </w:rPr>
              <w:t>540</w:t>
            </w:r>
          </w:p>
        </w:tc>
        <w:tc>
          <w:tcPr>
            <w:tcW w:w="3321" w:type="dxa"/>
          </w:tcPr>
          <w:p w:rsidR="00D46A60" w:rsidRDefault="008D4763" w:rsidP="00D46A60">
            <w:pPr>
              <w:rPr>
                <w:lang w:val="ru-RU"/>
              </w:rPr>
            </w:pPr>
            <w:r>
              <w:rPr>
                <w:lang w:val="ru-RU"/>
              </w:rPr>
              <w:t>Природна имовина</w:t>
            </w:r>
          </w:p>
        </w:tc>
        <w:tc>
          <w:tcPr>
            <w:tcW w:w="1299" w:type="dxa"/>
            <w:tcBorders>
              <w:right w:val="single" w:sz="4" w:space="0" w:color="auto"/>
            </w:tcBorders>
          </w:tcPr>
          <w:p w:rsidR="00D46A60" w:rsidRPr="008D4763" w:rsidRDefault="008D4763" w:rsidP="00D46A60">
            <w:pPr>
              <w:jc w:val="right"/>
              <w:rPr>
                <w:lang w:val="sr-Cyrl-CS"/>
              </w:rPr>
            </w:pPr>
            <w:r>
              <w:rPr>
                <w:lang w:val="sr-Cyrl-CS"/>
              </w:rPr>
              <w:t>1.000</w:t>
            </w:r>
          </w:p>
        </w:tc>
        <w:tc>
          <w:tcPr>
            <w:tcW w:w="1408" w:type="dxa"/>
            <w:tcBorders>
              <w:left w:val="single" w:sz="4" w:space="0" w:color="auto"/>
              <w:right w:val="single" w:sz="4" w:space="0" w:color="auto"/>
            </w:tcBorders>
          </w:tcPr>
          <w:p w:rsidR="00D46A60" w:rsidRPr="008D4763" w:rsidRDefault="008D4763" w:rsidP="00D46A60">
            <w:pPr>
              <w:jc w:val="right"/>
              <w:rPr>
                <w:lang w:val="sr-Cyrl-CS"/>
              </w:rPr>
            </w:pPr>
            <w:r>
              <w:rPr>
                <w:lang w:val="sr-Cyrl-CS"/>
              </w:rPr>
              <w:t>1.000</w:t>
            </w:r>
          </w:p>
        </w:tc>
        <w:tc>
          <w:tcPr>
            <w:tcW w:w="1348" w:type="dxa"/>
            <w:tcBorders>
              <w:left w:val="single" w:sz="4" w:space="0" w:color="auto"/>
              <w:right w:val="single" w:sz="4" w:space="0" w:color="auto"/>
            </w:tcBorders>
          </w:tcPr>
          <w:p w:rsidR="00D46A60" w:rsidRPr="008D4763" w:rsidRDefault="008D4763" w:rsidP="00D46A60">
            <w:pPr>
              <w:jc w:val="right"/>
              <w:rPr>
                <w:lang w:val="sr-Cyrl-CS"/>
              </w:rPr>
            </w:pPr>
            <w:r>
              <w:rPr>
                <w:lang w:val="sr-Cyrl-CS"/>
              </w:rPr>
              <w:t>500</w:t>
            </w:r>
          </w:p>
        </w:tc>
        <w:tc>
          <w:tcPr>
            <w:tcW w:w="1624" w:type="dxa"/>
            <w:tcBorders>
              <w:left w:val="single" w:sz="4" w:space="0" w:color="auto"/>
            </w:tcBorders>
          </w:tcPr>
          <w:p w:rsidR="00D46A60" w:rsidRPr="008D4763" w:rsidRDefault="008D4763" w:rsidP="00D46A60">
            <w:pPr>
              <w:jc w:val="right"/>
              <w:rPr>
                <w:lang w:val="sr-Cyrl-CS"/>
              </w:rPr>
            </w:pPr>
            <w:r>
              <w:rPr>
                <w:lang w:val="sr-Cyrl-CS"/>
              </w:rPr>
              <w:t>500</w:t>
            </w:r>
          </w:p>
        </w:tc>
      </w:tr>
      <w:tr w:rsidR="00D46A60" w:rsidRPr="00C36A77" w:rsidTr="00D46A60">
        <w:tc>
          <w:tcPr>
            <w:tcW w:w="576" w:type="dxa"/>
          </w:tcPr>
          <w:p w:rsidR="00D46A60" w:rsidRDefault="008D4763" w:rsidP="00D46A60">
            <w:pPr>
              <w:jc w:val="both"/>
              <w:rPr>
                <w:lang w:val="ru-RU"/>
              </w:rPr>
            </w:pPr>
            <w:r>
              <w:rPr>
                <w:lang w:val="ru-RU"/>
              </w:rPr>
              <w:t>610</w:t>
            </w:r>
          </w:p>
        </w:tc>
        <w:tc>
          <w:tcPr>
            <w:tcW w:w="3321" w:type="dxa"/>
          </w:tcPr>
          <w:p w:rsidR="00D46A60" w:rsidRDefault="008D4763" w:rsidP="00D46A60">
            <w:pPr>
              <w:rPr>
                <w:lang w:val="ru-RU"/>
              </w:rPr>
            </w:pPr>
            <w:r>
              <w:rPr>
                <w:lang w:val="ru-RU"/>
              </w:rPr>
              <w:t>Отплата главнице</w:t>
            </w:r>
          </w:p>
        </w:tc>
        <w:tc>
          <w:tcPr>
            <w:tcW w:w="1299" w:type="dxa"/>
            <w:tcBorders>
              <w:right w:val="single" w:sz="4" w:space="0" w:color="auto"/>
            </w:tcBorders>
          </w:tcPr>
          <w:p w:rsidR="00D46A60" w:rsidRDefault="008D4763" w:rsidP="008D4763">
            <w:pPr>
              <w:jc w:val="right"/>
              <w:rPr>
                <w:lang w:val="ru-RU"/>
              </w:rPr>
            </w:pPr>
            <w:r>
              <w:rPr>
                <w:lang w:val="ru-RU"/>
              </w:rPr>
              <w:t>4.500</w:t>
            </w:r>
          </w:p>
        </w:tc>
        <w:tc>
          <w:tcPr>
            <w:tcW w:w="1408" w:type="dxa"/>
            <w:tcBorders>
              <w:left w:val="single" w:sz="4" w:space="0" w:color="auto"/>
              <w:right w:val="single" w:sz="4" w:space="0" w:color="auto"/>
            </w:tcBorders>
          </w:tcPr>
          <w:p w:rsidR="00D46A60" w:rsidRDefault="008D4763" w:rsidP="00D46A60">
            <w:pPr>
              <w:jc w:val="right"/>
              <w:rPr>
                <w:lang w:val="ru-RU"/>
              </w:rPr>
            </w:pPr>
            <w:r>
              <w:rPr>
                <w:lang w:val="ru-RU"/>
              </w:rPr>
              <w:t>4.500</w:t>
            </w:r>
          </w:p>
        </w:tc>
        <w:tc>
          <w:tcPr>
            <w:tcW w:w="1348" w:type="dxa"/>
            <w:tcBorders>
              <w:left w:val="single" w:sz="4" w:space="0" w:color="auto"/>
              <w:right w:val="single" w:sz="4" w:space="0" w:color="auto"/>
            </w:tcBorders>
          </w:tcPr>
          <w:p w:rsidR="00D46A60" w:rsidRDefault="008D4763" w:rsidP="00D46A60">
            <w:pPr>
              <w:jc w:val="right"/>
              <w:rPr>
                <w:lang w:val="ru-RU"/>
              </w:rPr>
            </w:pPr>
            <w:r>
              <w:rPr>
                <w:lang w:val="ru-RU"/>
              </w:rPr>
              <w:t>4.500</w:t>
            </w:r>
          </w:p>
        </w:tc>
        <w:tc>
          <w:tcPr>
            <w:tcW w:w="1624" w:type="dxa"/>
            <w:tcBorders>
              <w:left w:val="single" w:sz="4" w:space="0" w:color="auto"/>
            </w:tcBorders>
          </w:tcPr>
          <w:p w:rsidR="00D46A60" w:rsidRDefault="008D4763" w:rsidP="008D4763">
            <w:pPr>
              <w:jc w:val="right"/>
              <w:rPr>
                <w:lang w:val="ru-RU"/>
              </w:rPr>
            </w:pPr>
            <w:r>
              <w:rPr>
                <w:lang w:val="ru-RU"/>
              </w:rPr>
              <w:t>4.500</w:t>
            </w:r>
          </w:p>
        </w:tc>
      </w:tr>
      <w:tr w:rsidR="00D46A60" w:rsidTr="00D46A60">
        <w:tc>
          <w:tcPr>
            <w:tcW w:w="576" w:type="dxa"/>
          </w:tcPr>
          <w:p w:rsidR="00D46A60" w:rsidRDefault="00D46A60" w:rsidP="00D46A60">
            <w:pPr>
              <w:jc w:val="both"/>
              <w:rPr>
                <w:lang w:val="ru-RU"/>
              </w:rPr>
            </w:pPr>
          </w:p>
        </w:tc>
        <w:tc>
          <w:tcPr>
            <w:tcW w:w="3321" w:type="dxa"/>
          </w:tcPr>
          <w:p w:rsidR="00D46A60" w:rsidRPr="00702606" w:rsidRDefault="00D46A60" w:rsidP="008D4763">
            <w:pPr>
              <w:rPr>
                <w:b/>
                <w:lang w:val="ru-RU"/>
              </w:rPr>
            </w:pPr>
            <w:r w:rsidRPr="00702606">
              <w:rPr>
                <w:b/>
                <w:lang w:val="ru-RU"/>
              </w:rPr>
              <w:t xml:space="preserve">УКУПНИ </w:t>
            </w:r>
            <w:r w:rsidR="008D4763">
              <w:rPr>
                <w:b/>
                <w:lang w:val="ru-RU"/>
              </w:rPr>
              <w:t>РАСХОДИ</w:t>
            </w:r>
            <w:r w:rsidRPr="00702606">
              <w:rPr>
                <w:b/>
                <w:lang w:val="ru-RU"/>
              </w:rPr>
              <w:t xml:space="preserve"> И  </w:t>
            </w:r>
            <w:r w:rsidR="008D4763">
              <w:rPr>
                <w:b/>
                <w:lang w:val="ru-RU"/>
              </w:rPr>
              <w:t>ИЗДАЦИ</w:t>
            </w:r>
          </w:p>
        </w:tc>
        <w:tc>
          <w:tcPr>
            <w:tcW w:w="1299" w:type="dxa"/>
            <w:tcBorders>
              <w:right w:val="single" w:sz="4" w:space="0" w:color="auto"/>
            </w:tcBorders>
          </w:tcPr>
          <w:p w:rsidR="00D46A60" w:rsidRPr="00141FC1" w:rsidRDefault="00D46A60" w:rsidP="00D46A60">
            <w:pPr>
              <w:jc w:val="right"/>
              <w:rPr>
                <w:lang w:val="en-US"/>
              </w:rPr>
            </w:pPr>
            <w:r>
              <w:rPr>
                <w:lang w:val="en-US"/>
              </w:rPr>
              <w:t>462.708</w:t>
            </w:r>
          </w:p>
        </w:tc>
        <w:tc>
          <w:tcPr>
            <w:tcW w:w="1408" w:type="dxa"/>
            <w:tcBorders>
              <w:left w:val="single" w:sz="4" w:space="0" w:color="auto"/>
              <w:right w:val="single" w:sz="4" w:space="0" w:color="auto"/>
            </w:tcBorders>
          </w:tcPr>
          <w:p w:rsidR="00D46A60" w:rsidRDefault="00D46A60" w:rsidP="00D46A60">
            <w:pPr>
              <w:jc w:val="right"/>
              <w:rPr>
                <w:lang w:val="ru-RU"/>
              </w:rPr>
            </w:pPr>
            <w:r>
              <w:rPr>
                <w:lang w:val="ru-RU"/>
              </w:rPr>
              <w:t>398.500</w:t>
            </w:r>
          </w:p>
        </w:tc>
        <w:tc>
          <w:tcPr>
            <w:tcW w:w="1348" w:type="dxa"/>
            <w:tcBorders>
              <w:left w:val="single" w:sz="4" w:space="0" w:color="auto"/>
              <w:right w:val="single" w:sz="4" w:space="0" w:color="auto"/>
            </w:tcBorders>
          </w:tcPr>
          <w:p w:rsidR="00D46A60" w:rsidRDefault="008D4763" w:rsidP="00D46A60">
            <w:pPr>
              <w:jc w:val="right"/>
              <w:rPr>
                <w:lang w:val="ru-RU"/>
              </w:rPr>
            </w:pPr>
            <w:r>
              <w:rPr>
                <w:lang w:val="ru-RU"/>
              </w:rPr>
              <w:t>4</w:t>
            </w:r>
            <w:r w:rsidR="00D46A60">
              <w:rPr>
                <w:lang w:val="ru-RU"/>
              </w:rPr>
              <w:t>99.000</w:t>
            </w:r>
          </w:p>
        </w:tc>
        <w:tc>
          <w:tcPr>
            <w:tcW w:w="1624" w:type="dxa"/>
            <w:tcBorders>
              <w:left w:val="single" w:sz="4" w:space="0" w:color="auto"/>
            </w:tcBorders>
          </w:tcPr>
          <w:p w:rsidR="00D46A60" w:rsidRDefault="008D4763" w:rsidP="00D46A60">
            <w:pPr>
              <w:jc w:val="right"/>
              <w:rPr>
                <w:lang w:val="ru-RU"/>
              </w:rPr>
            </w:pPr>
            <w:r>
              <w:rPr>
                <w:lang w:val="ru-RU"/>
              </w:rPr>
              <w:t>441.500</w:t>
            </w:r>
          </w:p>
        </w:tc>
      </w:tr>
    </w:tbl>
    <w:p w:rsidR="00D46A60" w:rsidRDefault="00D46A60" w:rsidP="00D46A60">
      <w:pPr>
        <w:jc w:val="both"/>
        <w:rPr>
          <w:lang w:val="en-US"/>
        </w:rPr>
      </w:pPr>
    </w:p>
    <w:p w:rsidR="00D46A60" w:rsidRDefault="00D46A60" w:rsidP="00D46A60">
      <w:pPr>
        <w:jc w:val="both"/>
        <w:rPr>
          <w:lang w:val="en-US"/>
        </w:rPr>
      </w:pPr>
    </w:p>
    <w:p w:rsidR="0014164C" w:rsidRDefault="0014164C" w:rsidP="0014164C">
      <w:pPr>
        <w:ind w:firstLine="720"/>
        <w:jc w:val="both"/>
        <w:rPr>
          <w:lang w:val="ru-RU"/>
        </w:rPr>
      </w:pPr>
      <w:r>
        <w:rPr>
          <w:lang w:val="ru-RU"/>
        </w:rPr>
        <w:t xml:space="preserve">4. </w:t>
      </w:r>
      <w:r w:rsidR="00DA2F62">
        <w:rPr>
          <w:lang w:val="ru-RU"/>
        </w:rPr>
        <w:t>Планирање расхода за</w:t>
      </w:r>
      <w:r w:rsidR="00F35F64">
        <w:rPr>
          <w:lang w:val="ru-RU"/>
        </w:rPr>
        <w:t xml:space="preserve"> </w:t>
      </w:r>
      <w:r w:rsidR="00DA2F62">
        <w:rPr>
          <w:lang w:val="ru-RU"/>
        </w:rPr>
        <w:t>плате и накнаде запослених</w:t>
      </w:r>
      <w:r w:rsidR="00F35F64">
        <w:rPr>
          <w:lang w:val="ru-RU"/>
        </w:rPr>
        <w:t xml:space="preserve"> </w:t>
      </w:r>
      <w:r w:rsidR="00DA2F62">
        <w:rPr>
          <w:lang w:val="ru-RU"/>
        </w:rPr>
        <w:t>у складу са колективним уговором (пла</w:t>
      </w:r>
      <w:r w:rsidR="00F35F64">
        <w:rPr>
          <w:lang w:val="ru-RU"/>
        </w:rPr>
        <w:t>те, отпремнине, превоз, социјал</w:t>
      </w:r>
      <w:r w:rsidR="00DA2F62">
        <w:rPr>
          <w:lang w:val="ru-RU"/>
        </w:rPr>
        <w:t>н</w:t>
      </w:r>
      <w:r w:rsidR="00F35F64">
        <w:rPr>
          <w:lang w:val="ru-RU"/>
        </w:rPr>
        <w:t xml:space="preserve">а </w:t>
      </w:r>
      <w:r w:rsidR="00DA2F62">
        <w:rPr>
          <w:lang w:val="ru-RU"/>
        </w:rPr>
        <w:t xml:space="preserve"> давања и др.), треба вршити крајње рационално.</w:t>
      </w:r>
    </w:p>
    <w:p w:rsidR="00DA2F62" w:rsidRDefault="00DA2F62" w:rsidP="0014164C">
      <w:pPr>
        <w:ind w:firstLine="720"/>
        <w:jc w:val="both"/>
        <w:rPr>
          <w:lang w:val="ru-RU"/>
        </w:rPr>
      </w:pPr>
    </w:p>
    <w:p w:rsidR="00DA2F62" w:rsidRDefault="00F35F64" w:rsidP="0014164C">
      <w:pPr>
        <w:ind w:firstLine="720"/>
        <w:jc w:val="both"/>
        <w:rPr>
          <w:lang w:val="ru-RU"/>
        </w:rPr>
      </w:pPr>
      <w:r>
        <w:rPr>
          <w:lang w:val="ru-RU"/>
        </w:rPr>
        <w:t>5. Р</w:t>
      </w:r>
      <w:r w:rsidR="00DA2F62">
        <w:rPr>
          <w:lang w:val="ru-RU"/>
        </w:rPr>
        <w:t>асходе по основу</w:t>
      </w:r>
      <w:r>
        <w:rPr>
          <w:lang w:val="ru-RU"/>
        </w:rPr>
        <w:t xml:space="preserve"> </w:t>
      </w:r>
      <w:r w:rsidR="00DA2F62">
        <w:rPr>
          <w:lang w:val="ru-RU"/>
        </w:rPr>
        <w:t>куповине роба</w:t>
      </w:r>
      <w:r>
        <w:rPr>
          <w:lang w:val="ru-RU"/>
        </w:rPr>
        <w:t xml:space="preserve"> </w:t>
      </w:r>
      <w:r w:rsidR="00DA2F62">
        <w:rPr>
          <w:lang w:val="ru-RU"/>
        </w:rPr>
        <w:t>и услуга треба планирати на нивоу 201</w:t>
      </w:r>
      <w:r w:rsidR="00BC55EF">
        <w:rPr>
          <w:lang w:val="en-US"/>
        </w:rPr>
        <w:t>7</w:t>
      </w:r>
      <w:r w:rsidR="00DA2F62">
        <w:rPr>
          <w:lang w:val="ru-RU"/>
        </w:rPr>
        <w:t>.године (ограничења услуге репрезентације, поклона, службених путовања, контрола дневница, фиксне и мобилне телефоније и др.) и они се</w:t>
      </w:r>
      <w:r>
        <w:rPr>
          <w:lang w:val="ru-RU"/>
        </w:rPr>
        <w:t xml:space="preserve"> </w:t>
      </w:r>
      <w:r w:rsidR="00DA2F62">
        <w:rPr>
          <w:lang w:val="ru-RU"/>
        </w:rPr>
        <w:t>могу планирати са</w:t>
      </w:r>
      <w:r>
        <w:rPr>
          <w:lang w:val="ru-RU"/>
        </w:rPr>
        <w:t>м</w:t>
      </w:r>
      <w:r w:rsidR="00DA2F62">
        <w:rPr>
          <w:lang w:val="ru-RU"/>
        </w:rPr>
        <w:t>о ако су у функцији обављања изворних и поврених послова у складу са Законом односно актом оснивача.</w:t>
      </w:r>
    </w:p>
    <w:p w:rsidR="00DA2F62" w:rsidRDefault="00DA2F62" w:rsidP="0014164C">
      <w:pPr>
        <w:ind w:firstLine="720"/>
        <w:jc w:val="both"/>
        <w:rPr>
          <w:lang w:val="ru-RU"/>
        </w:rPr>
      </w:pPr>
    </w:p>
    <w:p w:rsidR="00DA2F62" w:rsidRDefault="00DA2F62" w:rsidP="0014164C">
      <w:pPr>
        <w:ind w:firstLine="720"/>
        <w:jc w:val="both"/>
        <w:rPr>
          <w:lang w:val="ru-RU"/>
        </w:rPr>
      </w:pPr>
      <w:r>
        <w:rPr>
          <w:lang w:val="ru-RU"/>
        </w:rPr>
        <w:t>6. Набавка роба и услуга и капитална улагања (зграде опрема) морају бити у складу са Законом о јавним набавкама. У 201</w:t>
      </w:r>
      <w:r w:rsidR="00BC55EF">
        <w:rPr>
          <w:lang w:val="en-US"/>
        </w:rPr>
        <w:t>8</w:t>
      </w:r>
      <w:r>
        <w:rPr>
          <w:lang w:val="ru-RU"/>
        </w:rPr>
        <w:t>.години расходи на терет буџета неће се извршавати уколико не постоји план јавних набавки.</w:t>
      </w:r>
    </w:p>
    <w:p w:rsidR="00DA2F62" w:rsidRDefault="00DA2F62" w:rsidP="00E96CEC">
      <w:pPr>
        <w:jc w:val="both"/>
      </w:pPr>
    </w:p>
    <w:p w:rsidR="00E96CEC" w:rsidRDefault="00E96CEC" w:rsidP="00E96CEC">
      <w:pPr>
        <w:jc w:val="both"/>
      </w:pPr>
    </w:p>
    <w:p w:rsidR="00E96CEC" w:rsidRDefault="00E96CEC" w:rsidP="00E96CEC">
      <w:pPr>
        <w:jc w:val="both"/>
      </w:pPr>
    </w:p>
    <w:p w:rsidR="00E96CEC" w:rsidRPr="00E96CEC" w:rsidRDefault="00E96CEC" w:rsidP="00E96CEC">
      <w:pPr>
        <w:jc w:val="both"/>
      </w:pPr>
    </w:p>
    <w:p w:rsidR="00DA2F62" w:rsidRDefault="00DA2F62" w:rsidP="0014164C">
      <w:pPr>
        <w:ind w:firstLine="720"/>
        <w:jc w:val="both"/>
        <w:rPr>
          <w:b/>
          <w:u w:val="single"/>
          <w:lang w:val="ru-RU"/>
        </w:rPr>
      </w:pPr>
      <w:r w:rsidRPr="00DA2F62">
        <w:rPr>
          <w:b/>
          <w:u w:val="single"/>
          <w:lang w:val="ru-RU"/>
        </w:rPr>
        <w:t>Преглед обима средстава</w:t>
      </w:r>
    </w:p>
    <w:p w:rsidR="00DA2F62" w:rsidRDefault="00DA2F62" w:rsidP="0014164C">
      <w:pPr>
        <w:ind w:firstLine="720"/>
        <w:jc w:val="both"/>
        <w:rPr>
          <w:b/>
          <w:u w:val="single"/>
          <w:lang w:val="ru-RU"/>
        </w:rPr>
      </w:pPr>
    </w:p>
    <w:p w:rsidR="00DA2F62" w:rsidRDefault="00DA2F62" w:rsidP="0014164C">
      <w:pPr>
        <w:ind w:firstLine="720"/>
        <w:jc w:val="both"/>
        <w:rPr>
          <w:lang w:val="ru-RU"/>
        </w:rPr>
      </w:pPr>
      <w:r>
        <w:rPr>
          <w:lang w:val="ru-RU"/>
        </w:rPr>
        <w:t>Правни основ за утврђивање предлога обима срестава у финансијским</w:t>
      </w:r>
      <w:r w:rsidR="00F35F64">
        <w:rPr>
          <w:lang w:val="ru-RU"/>
        </w:rPr>
        <w:t xml:space="preserve"> </w:t>
      </w:r>
      <w:r>
        <w:rPr>
          <w:lang w:val="ru-RU"/>
        </w:rPr>
        <w:t xml:space="preserve">плановима директних и индиректних корисника средстава буџета локалне власти садржан је у члану 40. </w:t>
      </w:r>
      <w:r w:rsidR="00F35F64">
        <w:rPr>
          <w:lang w:val="ru-RU"/>
        </w:rPr>
        <w:t>т</w:t>
      </w:r>
      <w:r>
        <w:rPr>
          <w:lang w:val="ru-RU"/>
        </w:rPr>
        <w:t>ачка 4. Закона о буџетском систему.</w:t>
      </w:r>
    </w:p>
    <w:p w:rsidR="00DA2F62" w:rsidRDefault="00DA2F62" w:rsidP="0014164C">
      <w:pPr>
        <w:ind w:firstLine="720"/>
        <w:jc w:val="both"/>
        <w:rPr>
          <w:lang w:val="ru-RU"/>
        </w:rPr>
      </w:pPr>
    </w:p>
    <w:p w:rsidR="00DA2F62" w:rsidRDefault="00DA2F62" w:rsidP="0014164C">
      <w:pPr>
        <w:ind w:firstLine="720"/>
        <w:jc w:val="both"/>
        <w:rPr>
          <w:lang w:val="ru-RU"/>
        </w:rPr>
      </w:pPr>
      <w:r>
        <w:rPr>
          <w:lang w:val="ru-RU"/>
        </w:rPr>
        <w:t>Лимити расхода за буџетске кориснике општине Мерошина за 201</w:t>
      </w:r>
      <w:r w:rsidR="00BC55EF">
        <w:rPr>
          <w:lang w:val="en-US"/>
        </w:rPr>
        <w:t>8</w:t>
      </w:r>
      <w:r>
        <w:rPr>
          <w:lang w:val="ru-RU"/>
        </w:rPr>
        <w:t>.годину, дати су на бази сагледавања потребних средстава за рад и функционисање буџетских корисника, створених обавеза и могућности смањења појединих расхода у оквиру директних и индиректних буџетских кросника, као и најављених з</w:t>
      </w:r>
      <w:r w:rsidR="00F35F64">
        <w:rPr>
          <w:lang w:val="ru-RU"/>
        </w:rPr>
        <w:t>а</w:t>
      </w:r>
      <w:r>
        <w:rPr>
          <w:lang w:val="ru-RU"/>
        </w:rPr>
        <w:t>конских прописа од стране Владе Репбулике Србије а које ће бити у смислу растерећења привреде, односно смање</w:t>
      </w:r>
      <w:r w:rsidR="002A69D1">
        <w:rPr>
          <w:lang w:val="ru-RU"/>
        </w:rPr>
        <w:t>њ</w:t>
      </w:r>
      <w:r>
        <w:rPr>
          <w:lang w:val="ru-RU"/>
        </w:rPr>
        <w:t>а појединих јавних прихода.</w:t>
      </w:r>
    </w:p>
    <w:p w:rsidR="008D4763" w:rsidRDefault="008D4763" w:rsidP="0014164C">
      <w:pPr>
        <w:ind w:firstLine="720"/>
        <w:jc w:val="both"/>
        <w:rPr>
          <w:lang w:val="ru-RU"/>
        </w:rPr>
      </w:pPr>
    </w:p>
    <w:p w:rsidR="008D4763" w:rsidRDefault="008D4763" w:rsidP="0014164C">
      <w:pPr>
        <w:ind w:firstLine="720"/>
        <w:jc w:val="both"/>
        <w:rPr>
          <w:lang w:val="ru-RU"/>
        </w:rPr>
      </w:pPr>
    </w:p>
    <w:p w:rsidR="008D4763" w:rsidRDefault="008D4763" w:rsidP="0014164C">
      <w:pPr>
        <w:ind w:firstLine="720"/>
        <w:jc w:val="both"/>
        <w:rPr>
          <w:lang w:val="ru-RU"/>
        </w:rPr>
      </w:pPr>
    </w:p>
    <w:p w:rsidR="008D4763" w:rsidRDefault="008D4763" w:rsidP="0014164C">
      <w:pPr>
        <w:ind w:firstLine="720"/>
        <w:jc w:val="both"/>
        <w:rPr>
          <w:lang w:val="ru-RU"/>
        </w:rPr>
      </w:pPr>
    </w:p>
    <w:p w:rsidR="008D4763" w:rsidRDefault="008D4763" w:rsidP="0014164C">
      <w:pPr>
        <w:ind w:firstLine="720"/>
        <w:jc w:val="both"/>
        <w:rPr>
          <w:lang w:val="ru-RU"/>
        </w:rPr>
      </w:pPr>
    </w:p>
    <w:p w:rsidR="008D4763" w:rsidRDefault="008D4763" w:rsidP="0014164C">
      <w:pPr>
        <w:ind w:firstLine="720"/>
        <w:jc w:val="both"/>
        <w:rPr>
          <w:lang w:val="ru-RU"/>
        </w:rPr>
      </w:pPr>
    </w:p>
    <w:p w:rsidR="008D4763" w:rsidRDefault="008D4763" w:rsidP="0014164C">
      <w:pPr>
        <w:ind w:firstLine="720"/>
        <w:jc w:val="both"/>
        <w:rPr>
          <w:lang w:val="ru-RU"/>
        </w:rPr>
      </w:pPr>
    </w:p>
    <w:p w:rsidR="008D4763" w:rsidRDefault="008D4763" w:rsidP="0014164C">
      <w:pPr>
        <w:ind w:firstLine="720"/>
        <w:jc w:val="both"/>
        <w:rPr>
          <w:lang w:val="ru-RU"/>
        </w:rPr>
      </w:pPr>
    </w:p>
    <w:p w:rsidR="008D4763" w:rsidRDefault="008D4763" w:rsidP="0014164C">
      <w:pPr>
        <w:ind w:firstLine="720"/>
        <w:jc w:val="both"/>
      </w:pPr>
    </w:p>
    <w:p w:rsidR="00E96CEC" w:rsidRPr="00E96CEC" w:rsidRDefault="00E96CEC" w:rsidP="0014164C">
      <w:pPr>
        <w:ind w:firstLine="720"/>
        <w:jc w:val="both"/>
      </w:pPr>
    </w:p>
    <w:p w:rsidR="00F35F64" w:rsidRPr="00BC55EF" w:rsidRDefault="00F35F64" w:rsidP="00F35F64">
      <w:pPr>
        <w:jc w:val="center"/>
        <w:rPr>
          <w:b/>
          <w:lang w:val="en-US"/>
        </w:rPr>
      </w:pPr>
      <w:r w:rsidRPr="00F35F64">
        <w:rPr>
          <w:b/>
          <w:lang w:val="ru-RU"/>
        </w:rPr>
        <w:lastRenderedPageBreak/>
        <w:t>Преглед лимита укупних расхода буџетских корисника у 20</w:t>
      </w:r>
      <w:r w:rsidR="00BC55EF">
        <w:rPr>
          <w:b/>
          <w:lang w:val="en-US"/>
        </w:rPr>
        <w:t>18</w:t>
      </w:r>
      <w:r w:rsidRPr="00F35F64">
        <w:rPr>
          <w:b/>
          <w:lang w:val="ru-RU"/>
        </w:rPr>
        <w:t>.</w:t>
      </w:r>
      <w:r w:rsidR="00BC55EF">
        <w:rPr>
          <w:b/>
          <w:lang w:val="ru-RU"/>
        </w:rPr>
        <w:t>,201</w:t>
      </w:r>
      <w:r w:rsidR="00BC55EF">
        <w:rPr>
          <w:b/>
          <w:lang w:val="en-US"/>
        </w:rPr>
        <w:t>9</w:t>
      </w:r>
      <w:r w:rsidR="002A69D1">
        <w:rPr>
          <w:b/>
          <w:lang w:val="ru-RU"/>
        </w:rPr>
        <w:t xml:space="preserve"> и 20</w:t>
      </w:r>
      <w:r w:rsidR="00BC55EF">
        <w:rPr>
          <w:b/>
          <w:lang w:val="en-US"/>
        </w:rPr>
        <w:t>20</w:t>
      </w:r>
    </w:p>
    <w:p w:rsidR="00F35F64" w:rsidRDefault="00F35F64" w:rsidP="00F35F64">
      <w:pPr>
        <w:jc w:val="center"/>
        <w:rPr>
          <w:b/>
          <w:lang w:val="ru-RU"/>
        </w:rPr>
      </w:pPr>
      <w:r w:rsidRPr="00F35F64">
        <w:rPr>
          <w:b/>
          <w:lang w:val="ru-RU"/>
        </w:rPr>
        <w:t>години из извора финансирања 01-приходи из буџета</w:t>
      </w:r>
    </w:p>
    <w:p w:rsidR="00F35F64" w:rsidRDefault="00F35F64" w:rsidP="00F35F64">
      <w:pPr>
        <w:jc w:val="center"/>
        <w:rPr>
          <w:b/>
          <w:lang w:val="ru-RU"/>
        </w:rPr>
      </w:pPr>
    </w:p>
    <w:p w:rsidR="00F35F64" w:rsidRDefault="00F35F64" w:rsidP="00F35F64">
      <w:pPr>
        <w:jc w:val="both"/>
        <w:rPr>
          <w:b/>
          <w:lang w:val="ru-RU"/>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t>(у 000 дин.)</w:t>
      </w:r>
    </w:p>
    <w:p w:rsidR="00F35F64" w:rsidRDefault="00F35F64" w:rsidP="00F35F64">
      <w:pPr>
        <w:jc w:val="both"/>
        <w:rPr>
          <w:b/>
          <w:lang w:val="ru-RU"/>
        </w:rPr>
      </w:pPr>
    </w:p>
    <w:tbl>
      <w:tblPr>
        <w:tblStyle w:val="TableGrid"/>
        <w:tblW w:w="9738" w:type="dxa"/>
        <w:tblLayout w:type="fixed"/>
        <w:tblLook w:val="04A0"/>
      </w:tblPr>
      <w:tblGrid>
        <w:gridCol w:w="648"/>
        <w:gridCol w:w="3870"/>
        <w:gridCol w:w="1710"/>
        <w:gridCol w:w="1800"/>
        <w:gridCol w:w="1710"/>
      </w:tblGrid>
      <w:tr w:rsidR="00F35F64" w:rsidTr="00F35F64">
        <w:trPr>
          <w:trHeight w:val="480"/>
        </w:trPr>
        <w:tc>
          <w:tcPr>
            <w:tcW w:w="648" w:type="dxa"/>
            <w:vMerge w:val="restart"/>
          </w:tcPr>
          <w:p w:rsidR="00F35F64" w:rsidRPr="004F7DAE" w:rsidRDefault="00F35F64" w:rsidP="00F35F64">
            <w:pPr>
              <w:jc w:val="both"/>
              <w:rPr>
                <w:b/>
                <w:lang w:val="ru-RU"/>
              </w:rPr>
            </w:pPr>
            <w:r w:rsidRPr="004F7DAE">
              <w:rPr>
                <w:b/>
                <w:lang w:val="ru-RU"/>
              </w:rPr>
              <w:t>Р.б.</w:t>
            </w:r>
          </w:p>
        </w:tc>
        <w:tc>
          <w:tcPr>
            <w:tcW w:w="3870" w:type="dxa"/>
            <w:vMerge w:val="restart"/>
          </w:tcPr>
          <w:p w:rsidR="00F35F64" w:rsidRPr="004F7DAE" w:rsidRDefault="00F35F64" w:rsidP="00F35F64">
            <w:pPr>
              <w:jc w:val="center"/>
              <w:rPr>
                <w:b/>
                <w:lang w:val="ru-RU"/>
              </w:rPr>
            </w:pPr>
          </w:p>
          <w:p w:rsidR="00F35F64" w:rsidRPr="004F7DAE" w:rsidRDefault="00F35F64" w:rsidP="00F35F64">
            <w:pPr>
              <w:jc w:val="center"/>
              <w:rPr>
                <w:b/>
                <w:lang w:val="ru-RU"/>
              </w:rPr>
            </w:pPr>
            <w:r w:rsidRPr="004F7DAE">
              <w:rPr>
                <w:b/>
                <w:lang w:val="ru-RU"/>
              </w:rPr>
              <w:t>БУЏЕТСКИ КОРИСНИК</w:t>
            </w:r>
          </w:p>
          <w:p w:rsidR="00F35F64" w:rsidRPr="004F7DAE" w:rsidRDefault="00F35F64" w:rsidP="00F35F64">
            <w:pPr>
              <w:jc w:val="center"/>
              <w:rPr>
                <w:b/>
                <w:lang w:val="ru-RU"/>
              </w:rPr>
            </w:pPr>
          </w:p>
        </w:tc>
        <w:tc>
          <w:tcPr>
            <w:tcW w:w="5220" w:type="dxa"/>
            <w:gridSpan w:val="3"/>
            <w:tcBorders>
              <w:bottom w:val="single" w:sz="4" w:space="0" w:color="auto"/>
            </w:tcBorders>
          </w:tcPr>
          <w:p w:rsidR="00F35F64" w:rsidRPr="004F7DAE" w:rsidRDefault="004F7DAE" w:rsidP="004F7DAE">
            <w:pPr>
              <w:jc w:val="center"/>
              <w:rPr>
                <w:b/>
                <w:lang w:val="ru-RU"/>
              </w:rPr>
            </w:pPr>
            <w:r w:rsidRPr="004F7DAE">
              <w:rPr>
                <w:b/>
                <w:lang w:val="ru-RU"/>
              </w:rPr>
              <w:t>Укупни лимити из буџета</w:t>
            </w:r>
          </w:p>
        </w:tc>
      </w:tr>
      <w:tr w:rsidR="00F35F64" w:rsidTr="00557159">
        <w:trPr>
          <w:trHeight w:val="359"/>
        </w:trPr>
        <w:tc>
          <w:tcPr>
            <w:tcW w:w="648" w:type="dxa"/>
            <w:vMerge/>
          </w:tcPr>
          <w:p w:rsidR="00F35F64" w:rsidRDefault="00F35F64" w:rsidP="00F35F64">
            <w:pPr>
              <w:jc w:val="both"/>
              <w:rPr>
                <w:lang w:val="ru-RU"/>
              </w:rPr>
            </w:pPr>
          </w:p>
        </w:tc>
        <w:tc>
          <w:tcPr>
            <w:tcW w:w="3870" w:type="dxa"/>
            <w:vMerge/>
          </w:tcPr>
          <w:p w:rsidR="00F35F64" w:rsidRDefault="00F35F64" w:rsidP="00F35F64">
            <w:pPr>
              <w:jc w:val="center"/>
              <w:rPr>
                <w:lang w:val="ru-RU"/>
              </w:rPr>
            </w:pPr>
          </w:p>
        </w:tc>
        <w:tc>
          <w:tcPr>
            <w:tcW w:w="1710" w:type="dxa"/>
            <w:tcBorders>
              <w:top w:val="single" w:sz="4" w:space="0" w:color="auto"/>
              <w:right w:val="single" w:sz="4" w:space="0" w:color="auto"/>
            </w:tcBorders>
          </w:tcPr>
          <w:p w:rsidR="00F35F64" w:rsidRPr="004F7DAE" w:rsidRDefault="004F7DAE" w:rsidP="00892BC5">
            <w:pPr>
              <w:jc w:val="center"/>
              <w:rPr>
                <w:b/>
                <w:lang w:val="ru-RU"/>
              </w:rPr>
            </w:pPr>
            <w:r w:rsidRPr="004F7DAE">
              <w:rPr>
                <w:b/>
                <w:lang w:val="ru-RU"/>
              </w:rPr>
              <w:t>201</w:t>
            </w:r>
            <w:r w:rsidR="00BC55EF">
              <w:rPr>
                <w:b/>
                <w:lang w:val="en-US"/>
              </w:rPr>
              <w:t>8</w:t>
            </w:r>
            <w:r w:rsidRPr="004F7DAE">
              <w:rPr>
                <w:b/>
                <w:lang w:val="ru-RU"/>
              </w:rPr>
              <w:t>.год.</w:t>
            </w:r>
          </w:p>
        </w:tc>
        <w:tc>
          <w:tcPr>
            <w:tcW w:w="1800" w:type="dxa"/>
            <w:tcBorders>
              <w:top w:val="single" w:sz="4" w:space="0" w:color="auto"/>
              <w:left w:val="single" w:sz="4" w:space="0" w:color="auto"/>
              <w:right w:val="single" w:sz="4" w:space="0" w:color="auto"/>
            </w:tcBorders>
          </w:tcPr>
          <w:p w:rsidR="00F35F64" w:rsidRPr="004F7DAE" w:rsidRDefault="00BC55EF" w:rsidP="004F7DAE">
            <w:pPr>
              <w:jc w:val="center"/>
              <w:rPr>
                <w:b/>
                <w:lang w:val="ru-RU"/>
              </w:rPr>
            </w:pPr>
            <w:r>
              <w:rPr>
                <w:b/>
                <w:lang w:val="ru-RU"/>
              </w:rPr>
              <w:t>201</w:t>
            </w:r>
            <w:r>
              <w:rPr>
                <w:b/>
                <w:lang w:val="en-US"/>
              </w:rPr>
              <w:t>9</w:t>
            </w:r>
            <w:r w:rsidR="004F7DAE" w:rsidRPr="004F7DAE">
              <w:rPr>
                <w:b/>
                <w:lang w:val="ru-RU"/>
              </w:rPr>
              <w:t>.год.</w:t>
            </w:r>
          </w:p>
        </w:tc>
        <w:tc>
          <w:tcPr>
            <w:tcW w:w="1710" w:type="dxa"/>
            <w:tcBorders>
              <w:top w:val="single" w:sz="4" w:space="0" w:color="auto"/>
              <w:left w:val="single" w:sz="4" w:space="0" w:color="auto"/>
            </w:tcBorders>
          </w:tcPr>
          <w:p w:rsidR="00F35F64" w:rsidRPr="004F7DAE" w:rsidRDefault="00892BC5" w:rsidP="00BC55EF">
            <w:pPr>
              <w:jc w:val="center"/>
              <w:rPr>
                <w:b/>
                <w:lang w:val="ru-RU"/>
              </w:rPr>
            </w:pPr>
            <w:r>
              <w:rPr>
                <w:b/>
                <w:lang w:val="ru-RU"/>
              </w:rPr>
              <w:t>20</w:t>
            </w:r>
            <w:r w:rsidR="00BC55EF">
              <w:rPr>
                <w:b/>
                <w:lang w:val="en-US"/>
              </w:rPr>
              <w:t>20</w:t>
            </w:r>
            <w:r w:rsidR="004F7DAE" w:rsidRPr="004F7DAE">
              <w:rPr>
                <w:b/>
                <w:lang w:val="ru-RU"/>
              </w:rPr>
              <w:t>.год</w:t>
            </w:r>
          </w:p>
        </w:tc>
      </w:tr>
      <w:tr w:rsidR="00F35F64" w:rsidTr="00F35F64">
        <w:tc>
          <w:tcPr>
            <w:tcW w:w="648" w:type="dxa"/>
          </w:tcPr>
          <w:p w:rsidR="00F35F64" w:rsidRDefault="00F35F64" w:rsidP="00F35F64">
            <w:pPr>
              <w:jc w:val="both"/>
              <w:rPr>
                <w:lang w:val="ru-RU"/>
              </w:rPr>
            </w:pPr>
            <w:r>
              <w:rPr>
                <w:lang w:val="ru-RU"/>
              </w:rPr>
              <w:t>1.</w:t>
            </w:r>
          </w:p>
        </w:tc>
        <w:tc>
          <w:tcPr>
            <w:tcW w:w="3870" w:type="dxa"/>
          </w:tcPr>
          <w:p w:rsidR="00F35F64" w:rsidRDefault="00F35F64" w:rsidP="00F35F64">
            <w:pPr>
              <w:jc w:val="both"/>
              <w:rPr>
                <w:lang w:val="ru-RU"/>
              </w:rPr>
            </w:pPr>
            <w:r>
              <w:rPr>
                <w:lang w:val="ru-RU"/>
              </w:rPr>
              <w:t>Скупштина општине</w:t>
            </w:r>
          </w:p>
        </w:tc>
        <w:tc>
          <w:tcPr>
            <w:tcW w:w="1710" w:type="dxa"/>
            <w:tcBorders>
              <w:right w:val="single" w:sz="4" w:space="0" w:color="auto"/>
            </w:tcBorders>
          </w:tcPr>
          <w:p w:rsidR="00F35F64" w:rsidRDefault="00557159" w:rsidP="00333356">
            <w:pPr>
              <w:jc w:val="right"/>
              <w:rPr>
                <w:lang w:val="ru-RU"/>
              </w:rPr>
            </w:pPr>
            <w:r>
              <w:rPr>
                <w:lang w:val="ru-RU"/>
              </w:rPr>
              <w:t>21.187</w:t>
            </w:r>
          </w:p>
        </w:tc>
        <w:tc>
          <w:tcPr>
            <w:tcW w:w="1800" w:type="dxa"/>
            <w:tcBorders>
              <w:left w:val="single" w:sz="4" w:space="0" w:color="auto"/>
              <w:right w:val="single" w:sz="4" w:space="0" w:color="auto"/>
            </w:tcBorders>
          </w:tcPr>
          <w:p w:rsidR="00F35F64" w:rsidRDefault="00557159" w:rsidP="00333356">
            <w:pPr>
              <w:jc w:val="right"/>
              <w:rPr>
                <w:lang w:val="ru-RU"/>
              </w:rPr>
            </w:pPr>
            <w:r>
              <w:rPr>
                <w:lang w:val="ru-RU"/>
              </w:rPr>
              <w:t>21.187</w:t>
            </w:r>
          </w:p>
        </w:tc>
        <w:tc>
          <w:tcPr>
            <w:tcW w:w="1710" w:type="dxa"/>
            <w:tcBorders>
              <w:left w:val="single" w:sz="4" w:space="0" w:color="auto"/>
            </w:tcBorders>
          </w:tcPr>
          <w:p w:rsidR="00F35F64" w:rsidRDefault="00557159" w:rsidP="00333356">
            <w:pPr>
              <w:jc w:val="right"/>
              <w:rPr>
                <w:lang w:val="ru-RU"/>
              </w:rPr>
            </w:pPr>
            <w:r>
              <w:rPr>
                <w:lang w:val="ru-RU"/>
              </w:rPr>
              <w:t>21.187</w:t>
            </w:r>
          </w:p>
        </w:tc>
      </w:tr>
      <w:tr w:rsidR="00F35F64" w:rsidRPr="00246E0F" w:rsidTr="00F35F64">
        <w:tc>
          <w:tcPr>
            <w:tcW w:w="648" w:type="dxa"/>
          </w:tcPr>
          <w:p w:rsidR="00F35F64" w:rsidRDefault="00F35F64" w:rsidP="00F35F64">
            <w:pPr>
              <w:jc w:val="both"/>
              <w:rPr>
                <w:lang w:val="ru-RU"/>
              </w:rPr>
            </w:pPr>
            <w:r>
              <w:rPr>
                <w:lang w:val="ru-RU"/>
              </w:rPr>
              <w:t>2.</w:t>
            </w:r>
          </w:p>
        </w:tc>
        <w:tc>
          <w:tcPr>
            <w:tcW w:w="3870" w:type="dxa"/>
          </w:tcPr>
          <w:p w:rsidR="00F35F64" w:rsidRPr="00F35F64" w:rsidRDefault="00246E0F" w:rsidP="000237A3">
            <w:pPr>
              <w:jc w:val="both"/>
              <w:rPr>
                <w:sz w:val="22"/>
                <w:szCs w:val="22"/>
                <w:lang w:val="ru-RU"/>
              </w:rPr>
            </w:pPr>
            <w:r>
              <w:rPr>
                <w:sz w:val="22"/>
                <w:szCs w:val="22"/>
                <w:lang w:val="ru-RU"/>
              </w:rPr>
              <w:t>Председник оп</w:t>
            </w:r>
            <w:r w:rsidR="000237A3">
              <w:rPr>
                <w:sz w:val="22"/>
                <w:szCs w:val="22"/>
                <w:lang w:val="ru-RU"/>
              </w:rPr>
              <w:t>шт</w:t>
            </w:r>
            <w:r>
              <w:rPr>
                <w:sz w:val="22"/>
                <w:szCs w:val="22"/>
                <w:lang w:val="ru-RU"/>
              </w:rPr>
              <w:t xml:space="preserve">ине </w:t>
            </w:r>
          </w:p>
        </w:tc>
        <w:tc>
          <w:tcPr>
            <w:tcW w:w="1710" w:type="dxa"/>
            <w:tcBorders>
              <w:right w:val="single" w:sz="4" w:space="0" w:color="auto"/>
            </w:tcBorders>
          </w:tcPr>
          <w:p w:rsidR="00F35F64" w:rsidRDefault="00557159" w:rsidP="00333356">
            <w:pPr>
              <w:jc w:val="right"/>
              <w:rPr>
                <w:lang w:val="ru-RU"/>
              </w:rPr>
            </w:pPr>
            <w:r>
              <w:rPr>
                <w:lang w:val="ru-RU"/>
              </w:rPr>
              <w:t>8.045</w:t>
            </w:r>
          </w:p>
        </w:tc>
        <w:tc>
          <w:tcPr>
            <w:tcW w:w="1800" w:type="dxa"/>
            <w:tcBorders>
              <w:left w:val="single" w:sz="4" w:space="0" w:color="auto"/>
              <w:right w:val="single" w:sz="4" w:space="0" w:color="auto"/>
            </w:tcBorders>
          </w:tcPr>
          <w:p w:rsidR="00F35F64" w:rsidRDefault="00557159" w:rsidP="00333356">
            <w:pPr>
              <w:jc w:val="right"/>
              <w:rPr>
                <w:lang w:val="ru-RU"/>
              </w:rPr>
            </w:pPr>
            <w:r>
              <w:rPr>
                <w:lang w:val="ru-RU"/>
              </w:rPr>
              <w:t>8.045</w:t>
            </w:r>
          </w:p>
        </w:tc>
        <w:tc>
          <w:tcPr>
            <w:tcW w:w="1710" w:type="dxa"/>
            <w:tcBorders>
              <w:left w:val="single" w:sz="4" w:space="0" w:color="auto"/>
            </w:tcBorders>
          </w:tcPr>
          <w:p w:rsidR="00F35F64" w:rsidRDefault="00557159" w:rsidP="00333356">
            <w:pPr>
              <w:jc w:val="right"/>
              <w:rPr>
                <w:lang w:val="ru-RU"/>
              </w:rPr>
            </w:pPr>
            <w:r>
              <w:rPr>
                <w:lang w:val="ru-RU"/>
              </w:rPr>
              <w:t>8.045</w:t>
            </w:r>
          </w:p>
        </w:tc>
      </w:tr>
      <w:tr w:rsidR="00557159" w:rsidRPr="00246E0F" w:rsidTr="00F35F64">
        <w:tc>
          <w:tcPr>
            <w:tcW w:w="648" w:type="dxa"/>
          </w:tcPr>
          <w:p w:rsidR="00557159" w:rsidRDefault="00557159" w:rsidP="00F35F64">
            <w:pPr>
              <w:jc w:val="both"/>
              <w:rPr>
                <w:lang w:val="ru-RU"/>
              </w:rPr>
            </w:pPr>
            <w:r>
              <w:rPr>
                <w:lang w:val="ru-RU"/>
              </w:rPr>
              <w:t>3</w:t>
            </w:r>
          </w:p>
        </w:tc>
        <w:tc>
          <w:tcPr>
            <w:tcW w:w="3870" w:type="dxa"/>
          </w:tcPr>
          <w:p w:rsidR="00557159" w:rsidRDefault="00557159" w:rsidP="00246E0F">
            <w:pPr>
              <w:jc w:val="both"/>
              <w:rPr>
                <w:sz w:val="22"/>
                <w:szCs w:val="22"/>
                <w:lang w:val="ru-RU"/>
              </w:rPr>
            </w:pPr>
            <w:r>
              <w:rPr>
                <w:sz w:val="22"/>
                <w:szCs w:val="22"/>
                <w:lang w:val="ru-RU"/>
              </w:rPr>
              <w:t>Општинско веће</w:t>
            </w:r>
          </w:p>
        </w:tc>
        <w:tc>
          <w:tcPr>
            <w:tcW w:w="1710" w:type="dxa"/>
            <w:tcBorders>
              <w:right w:val="single" w:sz="4" w:space="0" w:color="auto"/>
            </w:tcBorders>
          </w:tcPr>
          <w:p w:rsidR="00557159" w:rsidRDefault="00557159" w:rsidP="00557159">
            <w:pPr>
              <w:jc w:val="right"/>
              <w:rPr>
                <w:lang w:val="ru-RU"/>
              </w:rPr>
            </w:pPr>
            <w:r>
              <w:rPr>
                <w:lang w:val="ru-RU"/>
              </w:rPr>
              <w:t>3.700</w:t>
            </w:r>
          </w:p>
        </w:tc>
        <w:tc>
          <w:tcPr>
            <w:tcW w:w="1800" w:type="dxa"/>
            <w:tcBorders>
              <w:left w:val="single" w:sz="4" w:space="0" w:color="auto"/>
              <w:right w:val="single" w:sz="4" w:space="0" w:color="auto"/>
            </w:tcBorders>
          </w:tcPr>
          <w:p w:rsidR="00557159" w:rsidRDefault="00557159" w:rsidP="00333356">
            <w:pPr>
              <w:jc w:val="right"/>
              <w:rPr>
                <w:lang w:val="ru-RU"/>
              </w:rPr>
            </w:pPr>
            <w:r>
              <w:rPr>
                <w:lang w:val="ru-RU"/>
              </w:rPr>
              <w:t>3.700</w:t>
            </w:r>
          </w:p>
        </w:tc>
        <w:tc>
          <w:tcPr>
            <w:tcW w:w="1710" w:type="dxa"/>
            <w:tcBorders>
              <w:left w:val="single" w:sz="4" w:space="0" w:color="auto"/>
            </w:tcBorders>
          </w:tcPr>
          <w:p w:rsidR="00557159" w:rsidRDefault="00557159" w:rsidP="00333356">
            <w:pPr>
              <w:jc w:val="right"/>
              <w:rPr>
                <w:lang w:val="ru-RU"/>
              </w:rPr>
            </w:pPr>
            <w:r>
              <w:rPr>
                <w:lang w:val="ru-RU"/>
              </w:rPr>
              <w:t>3.700</w:t>
            </w:r>
          </w:p>
        </w:tc>
      </w:tr>
      <w:tr w:rsidR="00246E0F" w:rsidRPr="00246E0F" w:rsidTr="00F35F64">
        <w:tc>
          <w:tcPr>
            <w:tcW w:w="648" w:type="dxa"/>
          </w:tcPr>
          <w:p w:rsidR="00246E0F" w:rsidRDefault="00557159" w:rsidP="00F35F64">
            <w:pPr>
              <w:jc w:val="both"/>
              <w:rPr>
                <w:lang w:val="ru-RU"/>
              </w:rPr>
            </w:pPr>
            <w:r>
              <w:rPr>
                <w:lang w:val="ru-RU"/>
              </w:rPr>
              <w:t>4</w:t>
            </w:r>
            <w:r w:rsidR="004444EA">
              <w:rPr>
                <w:lang w:val="ru-RU"/>
              </w:rPr>
              <w:t>.</w:t>
            </w:r>
          </w:p>
        </w:tc>
        <w:tc>
          <w:tcPr>
            <w:tcW w:w="3870" w:type="dxa"/>
          </w:tcPr>
          <w:p w:rsidR="00246E0F" w:rsidRDefault="00246E0F" w:rsidP="00246E0F">
            <w:pPr>
              <w:jc w:val="both"/>
              <w:rPr>
                <w:sz w:val="22"/>
                <w:szCs w:val="22"/>
                <w:lang w:val="ru-RU"/>
              </w:rPr>
            </w:pPr>
            <w:r>
              <w:rPr>
                <w:sz w:val="22"/>
                <w:szCs w:val="22"/>
                <w:lang w:val="ru-RU"/>
              </w:rPr>
              <w:t xml:space="preserve">Општинска управа </w:t>
            </w:r>
          </w:p>
        </w:tc>
        <w:tc>
          <w:tcPr>
            <w:tcW w:w="1710" w:type="dxa"/>
            <w:tcBorders>
              <w:right w:val="single" w:sz="4" w:space="0" w:color="auto"/>
            </w:tcBorders>
          </w:tcPr>
          <w:p w:rsidR="00246E0F" w:rsidRDefault="00557159" w:rsidP="00333356">
            <w:pPr>
              <w:jc w:val="right"/>
              <w:rPr>
                <w:lang w:val="ru-RU"/>
              </w:rPr>
            </w:pPr>
            <w:r>
              <w:rPr>
                <w:lang w:val="ru-RU"/>
              </w:rPr>
              <w:t>417.000</w:t>
            </w:r>
          </w:p>
        </w:tc>
        <w:tc>
          <w:tcPr>
            <w:tcW w:w="1800" w:type="dxa"/>
            <w:tcBorders>
              <w:left w:val="single" w:sz="4" w:space="0" w:color="auto"/>
              <w:right w:val="single" w:sz="4" w:space="0" w:color="auto"/>
            </w:tcBorders>
          </w:tcPr>
          <w:p w:rsidR="00246E0F" w:rsidRDefault="00557159" w:rsidP="00333356">
            <w:pPr>
              <w:jc w:val="right"/>
              <w:rPr>
                <w:lang w:val="ru-RU"/>
              </w:rPr>
            </w:pPr>
            <w:r>
              <w:rPr>
                <w:lang w:val="ru-RU"/>
              </w:rPr>
              <w:t>393</w:t>
            </w:r>
            <w:r w:rsidR="00333356">
              <w:rPr>
                <w:lang w:val="en-US"/>
              </w:rPr>
              <w:t>.</w:t>
            </w:r>
            <w:r w:rsidR="00246E0F">
              <w:rPr>
                <w:lang w:val="ru-RU"/>
              </w:rPr>
              <w:t>000</w:t>
            </w:r>
          </w:p>
        </w:tc>
        <w:tc>
          <w:tcPr>
            <w:tcW w:w="1710" w:type="dxa"/>
            <w:tcBorders>
              <w:left w:val="single" w:sz="4" w:space="0" w:color="auto"/>
            </w:tcBorders>
          </w:tcPr>
          <w:p w:rsidR="00246E0F" w:rsidRDefault="00557159" w:rsidP="00333356">
            <w:pPr>
              <w:jc w:val="right"/>
              <w:rPr>
                <w:lang w:val="ru-RU"/>
              </w:rPr>
            </w:pPr>
            <w:r>
              <w:rPr>
                <w:lang w:val="ru-RU"/>
              </w:rPr>
              <w:t>396</w:t>
            </w:r>
            <w:r w:rsidR="00333356">
              <w:rPr>
                <w:lang w:val="en-US"/>
              </w:rPr>
              <w:t>.</w:t>
            </w:r>
            <w:r w:rsidR="00246E0F">
              <w:rPr>
                <w:lang w:val="ru-RU"/>
              </w:rPr>
              <w:t>000</w:t>
            </w:r>
          </w:p>
        </w:tc>
      </w:tr>
      <w:tr w:rsidR="00246E0F" w:rsidTr="00201374">
        <w:tc>
          <w:tcPr>
            <w:tcW w:w="648" w:type="dxa"/>
            <w:tcBorders>
              <w:bottom w:val="single" w:sz="4" w:space="0" w:color="000000"/>
            </w:tcBorders>
          </w:tcPr>
          <w:p w:rsidR="00246E0F" w:rsidRDefault="00246E0F" w:rsidP="003944DE">
            <w:pPr>
              <w:jc w:val="both"/>
              <w:rPr>
                <w:lang w:val="ru-RU"/>
              </w:rPr>
            </w:pPr>
          </w:p>
        </w:tc>
        <w:tc>
          <w:tcPr>
            <w:tcW w:w="3870" w:type="dxa"/>
            <w:tcBorders>
              <w:bottom w:val="single" w:sz="4" w:space="0" w:color="000000"/>
            </w:tcBorders>
          </w:tcPr>
          <w:p w:rsidR="00246E0F" w:rsidRPr="004444EA" w:rsidRDefault="00246E0F" w:rsidP="003944DE">
            <w:pPr>
              <w:jc w:val="both"/>
              <w:rPr>
                <w:b/>
                <w:lang w:val="ru-RU"/>
              </w:rPr>
            </w:pPr>
            <w:r w:rsidRPr="004444EA">
              <w:rPr>
                <w:b/>
                <w:lang w:val="ru-RU"/>
              </w:rPr>
              <w:t>УКУПНО:</w:t>
            </w:r>
          </w:p>
        </w:tc>
        <w:tc>
          <w:tcPr>
            <w:tcW w:w="1710" w:type="dxa"/>
            <w:tcBorders>
              <w:bottom w:val="single" w:sz="4" w:space="0" w:color="000000"/>
              <w:right w:val="single" w:sz="4" w:space="0" w:color="auto"/>
            </w:tcBorders>
          </w:tcPr>
          <w:p w:rsidR="00246E0F" w:rsidRPr="004444EA" w:rsidRDefault="00557159" w:rsidP="00333356">
            <w:pPr>
              <w:jc w:val="right"/>
              <w:rPr>
                <w:b/>
                <w:lang w:val="ru-RU"/>
              </w:rPr>
            </w:pPr>
            <w:r>
              <w:rPr>
                <w:b/>
                <w:lang w:val="ru-RU"/>
              </w:rPr>
              <w:t>449.932</w:t>
            </w:r>
          </w:p>
        </w:tc>
        <w:tc>
          <w:tcPr>
            <w:tcW w:w="1800" w:type="dxa"/>
            <w:tcBorders>
              <w:left w:val="single" w:sz="4" w:space="0" w:color="auto"/>
              <w:bottom w:val="single" w:sz="4" w:space="0" w:color="000000"/>
              <w:right w:val="single" w:sz="4" w:space="0" w:color="auto"/>
            </w:tcBorders>
          </w:tcPr>
          <w:p w:rsidR="00246E0F" w:rsidRPr="004444EA" w:rsidRDefault="00557159" w:rsidP="00333356">
            <w:pPr>
              <w:jc w:val="right"/>
              <w:rPr>
                <w:b/>
                <w:lang w:val="ru-RU"/>
              </w:rPr>
            </w:pPr>
            <w:r>
              <w:rPr>
                <w:b/>
                <w:lang w:val="ru-RU"/>
              </w:rPr>
              <w:t>425.932</w:t>
            </w:r>
          </w:p>
        </w:tc>
        <w:tc>
          <w:tcPr>
            <w:tcW w:w="1710" w:type="dxa"/>
            <w:tcBorders>
              <w:left w:val="single" w:sz="4" w:space="0" w:color="auto"/>
              <w:bottom w:val="single" w:sz="4" w:space="0" w:color="000000"/>
            </w:tcBorders>
          </w:tcPr>
          <w:p w:rsidR="00246E0F" w:rsidRPr="004444EA" w:rsidRDefault="00557159" w:rsidP="00597277">
            <w:pPr>
              <w:jc w:val="right"/>
              <w:rPr>
                <w:b/>
                <w:lang w:val="ru-RU"/>
              </w:rPr>
            </w:pPr>
            <w:r>
              <w:rPr>
                <w:b/>
                <w:lang w:val="ru-RU"/>
              </w:rPr>
              <w:t>428.932</w:t>
            </w:r>
          </w:p>
        </w:tc>
      </w:tr>
      <w:tr w:rsidR="00246E0F" w:rsidTr="00201374">
        <w:tc>
          <w:tcPr>
            <w:tcW w:w="648" w:type="dxa"/>
            <w:tcBorders>
              <w:top w:val="single" w:sz="4" w:space="0" w:color="000000"/>
              <w:left w:val="nil"/>
              <w:bottom w:val="nil"/>
              <w:right w:val="nil"/>
            </w:tcBorders>
          </w:tcPr>
          <w:p w:rsidR="00246E0F" w:rsidRDefault="00246E0F" w:rsidP="003944DE">
            <w:pPr>
              <w:jc w:val="both"/>
              <w:rPr>
                <w:lang w:val="ru-RU"/>
              </w:rPr>
            </w:pPr>
          </w:p>
        </w:tc>
        <w:tc>
          <w:tcPr>
            <w:tcW w:w="3870" w:type="dxa"/>
            <w:tcBorders>
              <w:top w:val="single" w:sz="4" w:space="0" w:color="000000"/>
              <w:left w:val="nil"/>
              <w:bottom w:val="nil"/>
              <w:right w:val="nil"/>
            </w:tcBorders>
          </w:tcPr>
          <w:p w:rsidR="00246E0F" w:rsidRDefault="00246E0F" w:rsidP="003944DE">
            <w:pPr>
              <w:jc w:val="both"/>
              <w:rPr>
                <w:lang w:val="ru-RU"/>
              </w:rPr>
            </w:pPr>
          </w:p>
        </w:tc>
        <w:tc>
          <w:tcPr>
            <w:tcW w:w="1710" w:type="dxa"/>
            <w:tcBorders>
              <w:top w:val="single" w:sz="4" w:space="0" w:color="000000"/>
              <w:left w:val="nil"/>
              <w:bottom w:val="nil"/>
              <w:right w:val="nil"/>
            </w:tcBorders>
          </w:tcPr>
          <w:p w:rsidR="00246E0F" w:rsidRDefault="00246E0F" w:rsidP="00333356">
            <w:pPr>
              <w:jc w:val="right"/>
              <w:rPr>
                <w:lang w:val="ru-RU"/>
              </w:rPr>
            </w:pPr>
          </w:p>
        </w:tc>
        <w:tc>
          <w:tcPr>
            <w:tcW w:w="1800" w:type="dxa"/>
            <w:tcBorders>
              <w:top w:val="single" w:sz="4" w:space="0" w:color="000000"/>
              <w:left w:val="nil"/>
              <w:bottom w:val="nil"/>
              <w:right w:val="nil"/>
            </w:tcBorders>
          </w:tcPr>
          <w:p w:rsidR="00246E0F" w:rsidRDefault="00246E0F" w:rsidP="00333356">
            <w:pPr>
              <w:jc w:val="right"/>
              <w:rPr>
                <w:lang w:val="ru-RU"/>
              </w:rPr>
            </w:pPr>
          </w:p>
        </w:tc>
        <w:tc>
          <w:tcPr>
            <w:tcW w:w="1710" w:type="dxa"/>
            <w:tcBorders>
              <w:top w:val="single" w:sz="4" w:space="0" w:color="000000"/>
              <w:left w:val="nil"/>
              <w:bottom w:val="nil"/>
              <w:right w:val="nil"/>
            </w:tcBorders>
          </w:tcPr>
          <w:p w:rsidR="00246E0F" w:rsidRDefault="00246E0F" w:rsidP="003944DE">
            <w:pPr>
              <w:jc w:val="both"/>
              <w:rPr>
                <w:lang w:val="ru-RU"/>
              </w:rPr>
            </w:pPr>
          </w:p>
        </w:tc>
      </w:tr>
      <w:tr w:rsidR="00246E0F" w:rsidTr="00201374">
        <w:tc>
          <w:tcPr>
            <w:tcW w:w="648" w:type="dxa"/>
            <w:tcBorders>
              <w:top w:val="nil"/>
              <w:left w:val="nil"/>
              <w:bottom w:val="nil"/>
              <w:right w:val="nil"/>
            </w:tcBorders>
          </w:tcPr>
          <w:p w:rsidR="00246E0F" w:rsidRDefault="00246E0F" w:rsidP="003944DE">
            <w:pPr>
              <w:jc w:val="both"/>
              <w:rPr>
                <w:lang w:val="ru-RU"/>
              </w:rPr>
            </w:pPr>
          </w:p>
        </w:tc>
        <w:tc>
          <w:tcPr>
            <w:tcW w:w="3870" w:type="dxa"/>
            <w:tcBorders>
              <w:top w:val="nil"/>
              <w:left w:val="nil"/>
              <w:bottom w:val="nil"/>
              <w:right w:val="nil"/>
            </w:tcBorders>
          </w:tcPr>
          <w:p w:rsidR="00246E0F" w:rsidRDefault="00246E0F" w:rsidP="003944DE">
            <w:pPr>
              <w:jc w:val="both"/>
              <w:rPr>
                <w:lang w:val="ru-RU"/>
              </w:rPr>
            </w:pPr>
          </w:p>
        </w:tc>
        <w:tc>
          <w:tcPr>
            <w:tcW w:w="1710" w:type="dxa"/>
            <w:tcBorders>
              <w:top w:val="nil"/>
              <w:left w:val="nil"/>
              <w:bottom w:val="nil"/>
              <w:right w:val="nil"/>
            </w:tcBorders>
          </w:tcPr>
          <w:p w:rsidR="00246E0F" w:rsidRDefault="00246E0F" w:rsidP="00333356">
            <w:pPr>
              <w:jc w:val="right"/>
              <w:rPr>
                <w:lang w:val="ru-RU"/>
              </w:rPr>
            </w:pPr>
          </w:p>
        </w:tc>
        <w:tc>
          <w:tcPr>
            <w:tcW w:w="1800" w:type="dxa"/>
            <w:tcBorders>
              <w:top w:val="nil"/>
              <w:left w:val="nil"/>
              <w:bottom w:val="nil"/>
              <w:right w:val="nil"/>
            </w:tcBorders>
          </w:tcPr>
          <w:p w:rsidR="00246E0F" w:rsidRDefault="00246E0F" w:rsidP="00333356">
            <w:pPr>
              <w:jc w:val="right"/>
              <w:rPr>
                <w:lang w:val="ru-RU"/>
              </w:rPr>
            </w:pPr>
          </w:p>
        </w:tc>
        <w:tc>
          <w:tcPr>
            <w:tcW w:w="1710" w:type="dxa"/>
            <w:tcBorders>
              <w:top w:val="nil"/>
              <w:left w:val="nil"/>
              <w:bottom w:val="nil"/>
              <w:right w:val="nil"/>
            </w:tcBorders>
          </w:tcPr>
          <w:p w:rsidR="00246E0F" w:rsidRDefault="00246E0F" w:rsidP="003944DE">
            <w:pPr>
              <w:jc w:val="both"/>
              <w:rPr>
                <w:lang w:val="ru-RU"/>
              </w:rPr>
            </w:pPr>
          </w:p>
        </w:tc>
      </w:tr>
    </w:tbl>
    <w:p w:rsidR="00D25A75" w:rsidRDefault="00D25A75" w:rsidP="00F35F64">
      <w:pPr>
        <w:jc w:val="both"/>
        <w:rPr>
          <w:lang w:val="ru-RU"/>
        </w:rPr>
      </w:pPr>
    </w:p>
    <w:p w:rsidR="002A69D1" w:rsidRDefault="002A69D1" w:rsidP="00F35F64">
      <w:pPr>
        <w:jc w:val="both"/>
        <w:rPr>
          <w:lang w:val="ru-RU"/>
        </w:rPr>
      </w:pPr>
    </w:p>
    <w:p w:rsidR="002A69D1" w:rsidRDefault="002A69D1" w:rsidP="00F35F64">
      <w:pPr>
        <w:jc w:val="both"/>
        <w:rPr>
          <w:lang w:val="ru-RU"/>
        </w:rPr>
      </w:pPr>
    </w:p>
    <w:p w:rsidR="00D25A75" w:rsidRDefault="00D25A75" w:rsidP="00D25A75">
      <w:pPr>
        <w:jc w:val="center"/>
        <w:rPr>
          <w:b/>
          <w:lang w:val="ru-RU"/>
        </w:rPr>
      </w:pPr>
      <w:r w:rsidRPr="00D25A75">
        <w:rPr>
          <w:b/>
          <w:lang w:val="ru-RU"/>
        </w:rPr>
        <w:t>Поступак и динамика припрема буџета локалне власти и предлога финансијских планова корисника средстава буџета локалне власти</w:t>
      </w:r>
    </w:p>
    <w:p w:rsidR="00D25A75" w:rsidRDefault="00D25A75" w:rsidP="00D25A75">
      <w:pPr>
        <w:jc w:val="center"/>
        <w:rPr>
          <w:b/>
          <w:lang w:val="ru-RU"/>
        </w:rPr>
      </w:pPr>
    </w:p>
    <w:p w:rsidR="002A69D1" w:rsidRDefault="00D25A75" w:rsidP="00D25A75">
      <w:pPr>
        <w:jc w:val="both"/>
        <w:rPr>
          <w:lang w:val="ru-RU"/>
        </w:rPr>
      </w:pPr>
      <w:r>
        <w:rPr>
          <w:lang w:val="ru-RU"/>
        </w:rPr>
        <w:t>Предлог финансијског плана за 201</w:t>
      </w:r>
      <w:r w:rsidR="00557159">
        <w:rPr>
          <w:lang w:val="ru-RU"/>
        </w:rPr>
        <w:t>8</w:t>
      </w:r>
      <w:r>
        <w:rPr>
          <w:lang w:val="ru-RU"/>
        </w:rPr>
        <w:t>.годину мора да представља процену финансијских потреба корисника буџетских средстава, као и извора средстава из којих ће се ова потреба финансирати.</w:t>
      </w:r>
    </w:p>
    <w:p w:rsidR="00D64F8D" w:rsidRDefault="00D64F8D" w:rsidP="00D25A75">
      <w:pPr>
        <w:jc w:val="both"/>
        <w:rPr>
          <w:lang w:val="ru-RU"/>
        </w:rPr>
      </w:pPr>
    </w:p>
    <w:p w:rsidR="003E3F27" w:rsidRDefault="003E3F27" w:rsidP="00D25A75">
      <w:pPr>
        <w:jc w:val="both"/>
        <w:rPr>
          <w:lang w:val="ru-RU"/>
        </w:rPr>
      </w:pPr>
      <w:r>
        <w:rPr>
          <w:lang w:val="ru-RU"/>
        </w:rPr>
        <w:tab/>
        <w:t>Корисници буџетских средстава израђују предлоге финансијских планова за буџетску годину са пројекцијама за наред</w:t>
      </w:r>
      <w:r w:rsidR="003944DE">
        <w:rPr>
          <w:lang w:val="ru-RU"/>
        </w:rPr>
        <w:t>не две фискалне године, без обз</w:t>
      </w:r>
      <w:r>
        <w:rPr>
          <w:lang w:val="ru-RU"/>
        </w:rPr>
        <w:t>и</w:t>
      </w:r>
      <w:r w:rsidR="003944DE">
        <w:rPr>
          <w:lang w:val="ru-RU"/>
        </w:rPr>
        <w:t>р</w:t>
      </w:r>
      <w:r>
        <w:rPr>
          <w:lang w:val="ru-RU"/>
        </w:rPr>
        <w:t>а да ли се капитални пројекти уговарају фазно по годинама или корисник преузима обавезе по уговору који за</w:t>
      </w:r>
      <w:r w:rsidR="003944DE">
        <w:rPr>
          <w:lang w:val="ru-RU"/>
        </w:rPr>
        <w:t>х</w:t>
      </w:r>
      <w:r>
        <w:rPr>
          <w:lang w:val="ru-RU"/>
        </w:rPr>
        <w:t>тева плаћање у више година.</w:t>
      </w:r>
    </w:p>
    <w:p w:rsidR="003E3F27" w:rsidRDefault="003E3F27" w:rsidP="00D25A75">
      <w:pPr>
        <w:jc w:val="both"/>
        <w:rPr>
          <w:lang w:val="ru-RU"/>
        </w:rPr>
      </w:pPr>
    </w:p>
    <w:p w:rsidR="003E3F27" w:rsidRDefault="003E3F27" w:rsidP="00D25A75">
      <w:pPr>
        <w:jc w:val="both"/>
        <w:rPr>
          <w:lang w:val="ru-RU"/>
        </w:rPr>
      </w:pPr>
      <w:r>
        <w:rPr>
          <w:lang w:val="ru-RU"/>
        </w:rPr>
        <w:tab/>
        <w:t xml:space="preserve">Посебно је важно да буџетски корисници у предлогу свог финансијског плана, осим буџетских, искажу и </w:t>
      </w:r>
      <w:r w:rsidRPr="003E3F27">
        <w:rPr>
          <w:b/>
          <w:u w:val="single"/>
          <w:lang w:val="ru-RU"/>
        </w:rPr>
        <w:t>друге изворе финансирања</w:t>
      </w:r>
      <w:r>
        <w:rPr>
          <w:lang w:val="ru-RU"/>
        </w:rPr>
        <w:t xml:space="preserve"> (сопствени приходи, донације и сл.).Услов за коришћење остварених сопствених прихода за одређену намену биће да је расход планиран у буџету.</w:t>
      </w:r>
    </w:p>
    <w:p w:rsidR="003E3F27" w:rsidRDefault="003E3F27" w:rsidP="00D25A75">
      <w:pPr>
        <w:jc w:val="both"/>
        <w:rPr>
          <w:lang w:val="ru-RU"/>
        </w:rPr>
      </w:pPr>
    </w:p>
    <w:p w:rsidR="003E3F27" w:rsidRPr="00874881" w:rsidRDefault="003E3F27" w:rsidP="00D25A75">
      <w:pPr>
        <w:jc w:val="both"/>
        <w:rPr>
          <w:b/>
          <w:lang w:val="ru-RU"/>
        </w:rPr>
      </w:pPr>
      <w:r>
        <w:rPr>
          <w:lang w:val="ru-RU"/>
        </w:rPr>
        <w:tab/>
      </w:r>
      <w:r w:rsidRPr="00874881">
        <w:rPr>
          <w:b/>
          <w:lang w:val="ru-RU"/>
        </w:rPr>
        <w:t>Предлог финансијског плана обухвата:</w:t>
      </w:r>
    </w:p>
    <w:p w:rsidR="003E3F27" w:rsidRPr="00874881" w:rsidRDefault="003E3F27" w:rsidP="00D25A75">
      <w:pPr>
        <w:jc w:val="both"/>
        <w:rPr>
          <w:b/>
          <w:lang w:val="ru-RU"/>
        </w:rPr>
      </w:pPr>
    </w:p>
    <w:p w:rsidR="003E3F27" w:rsidRDefault="003E3F27" w:rsidP="00D25A75">
      <w:pPr>
        <w:jc w:val="both"/>
        <w:rPr>
          <w:lang w:val="ru-RU"/>
        </w:rPr>
      </w:pPr>
      <w:r>
        <w:rPr>
          <w:lang w:val="ru-RU"/>
        </w:rPr>
        <w:tab/>
        <w:t>1) Расходе и изда</w:t>
      </w:r>
      <w:r w:rsidR="003944DE">
        <w:rPr>
          <w:lang w:val="ru-RU"/>
        </w:rPr>
        <w:t>тке за 201</w:t>
      </w:r>
      <w:r w:rsidR="00557159">
        <w:rPr>
          <w:lang w:val="ru-RU"/>
        </w:rPr>
        <w:t>8</w:t>
      </w:r>
      <w:r w:rsidR="003944DE">
        <w:rPr>
          <w:lang w:val="ru-RU"/>
        </w:rPr>
        <w:t>.г. и две наредне го</w:t>
      </w:r>
      <w:r>
        <w:rPr>
          <w:lang w:val="ru-RU"/>
        </w:rPr>
        <w:t>д</w:t>
      </w:r>
      <w:r w:rsidR="003944DE">
        <w:rPr>
          <w:lang w:val="ru-RU"/>
        </w:rPr>
        <w:t>и</w:t>
      </w:r>
      <w:r>
        <w:rPr>
          <w:lang w:val="ru-RU"/>
        </w:rPr>
        <w:t>не, исказане по буџетској класификацији (у складу са обрасцима који су саставни део вог упутства), као и по програмској класификацији;</w:t>
      </w:r>
    </w:p>
    <w:p w:rsidR="00874881" w:rsidRDefault="00874881" w:rsidP="00D25A75">
      <w:pPr>
        <w:jc w:val="both"/>
        <w:rPr>
          <w:lang w:val="ru-RU"/>
        </w:rPr>
      </w:pPr>
    </w:p>
    <w:p w:rsidR="003E3F27" w:rsidRDefault="003E3F27" w:rsidP="00D25A75">
      <w:pPr>
        <w:jc w:val="both"/>
        <w:rPr>
          <w:lang w:val="ru-RU"/>
        </w:rPr>
      </w:pPr>
      <w:r>
        <w:rPr>
          <w:lang w:val="ru-RU"/>
        </w:rPr>
        <w:tab/>
        <w:t>2) Детаљно писано образложење расхода и издатака, као и извора финансирања;</w:t>
      </w:r>
    </w:p>
    <w:p w:rsidR="003944DE" w:rsidRDefault="003944DE" w:rsidP="00D25A75">
      <w:pPr>
        <w:jc w:val="both"/>
        <w:rPr>
          <w:lang w:val="ru-RU"/>
        </w:rPr>
      </w:pPr>
    </w:p>
    <w:p w:rsidR="003E3F27" w:rsidRDefault="003E3F27" w:rsidP="00D25A75">
      <w:pPr>
        <w:jc w:val="both"/>
        <w:rPr>
          <w:b/>
          <w:lang w:val="ru-RU"/>
        </w:rPr>
      </w:pPr>
      <w:r>
        <w:rPr>
          <w:lang w:val="ru-RU"/>
        </w:rPr>
        <w:tab/>
        <w:t xml:space="preserve">3)  </w:t>
      </w:r>
      <w:r w:rsidRPr="002A69D1">
        <w:rPr>
          <w:lang w:val="ru-RU"/>
        </w:rPr>
        <w:t>Детаљно писан</w:t>
      </w:r>
      <w:r w:rsidR="002A69D1" w:rsidRPr="002A69D1">
        <w:rPr>
          <w:lang w:val="ru-RU"/>
        </w:rPr>
        <w:t>а</w:t>
      </w:r>
      <w:r w:rsidRPr="002A69D1">
        <w:rPr>
          <w:lang w:val="ru-RU"/>
        </w:rPr>
        <w:t xml:space="preserve"> израд</w:t>
      </w:r>
      <w:r w:rsidR="002A69D1" w:rsidRPr="002A69D1">
        <w:rPr>
          <w:lang w:val="ru-RU"/>
        </w:rPr>
        <w:t>а</w:t>
      </w:r>
      <w:r w:rsidRPr="002A69D1">
        <w:rPr>
          <w:lang w:val="ru-RU"/>
        </w:rPr>
        <w:t xml:space="preserve"> програмског дела буџета</w:t>
      </w:r>
      <w:r w:rsidRPr="003E3F27">
        <w:rPr>
          <w:b/>
          <w:lang w:val="ru-RU"/>
        </w:rPr>
        <w:t>;</w:t>
      </w:r>
    </w:p>
    <w:p w:rsidR="00874881" w:rsidRDefault="00874881" w:rsidP="00D25A75">
      <w:pPr>
        <w:jc w:val="both"/>
        <w:rPr>
          <w:b/>
          <w:lang w:val="ru-RU"/>
        </w:rPr>
      </w:pPr>
    </w:p>
    <w:p w:rsidR="003E3F27" w:rsidRDefault="003E3F27" w:rsidP="00D25A75">
      <w:pPr>
        <w:jc w:val="both"/>
        <w:rPr>
          <w:lang w:val="ru-RU"/>
        </w:rPr>
      </w:pPr>
      <w:r>
        <w:rPr>
          <w:b/>
          <w:lang w:val="ru-RU"/>
        </w:rPr>
        <w:tab/>
      </w:r>
      <w:r w:rsidRPr="003E3F27">
        <w:rPr>
          <w:lang w:val="ru-RU"/>
        </w:rPr>
        <w:t xml:space="preserve">4) </w:t>
      </w:r>
      <w:r>
        <w:rPr>
          <w:lang w:val="ru-RU"/>
        </w:rPr>
        <w:t>Предлог капиталних пројеката (по обрасцу који је саставни део овог упутства);</w:t>
      </w:r>
    </w:p>
    <w:p w:rsidR="00874881" w:rsidRDefault="00874881" w:rsidP="00D25A75">
      <w:pPr>
        <w:jc w:val="both"/>
        <w:rPr>
          <w:lang w:val="ru-RU"/>
        </w:rPr>
      </w:pPr>
    </w:p>
    <w:p w:rsidR="003E3F27" w:rsidRDefault="003E3F27" w:rsidP="00D25A75">
      <w:pPr>
        <w:jc w:val="both"/>
        <w:rPr>
          <w:lang w:val="ru-RU"/>
        </w:rPr>
      </w:pPr>
      <w:r>
        <w:rPr>
          <w:lang w:val="ru-RU"/>
        </w:rPr>
        <w:lastRenderedPageBreak/>
        <w:tab/>
        <w:t>5) Предлог пројеката развојне помоћи ЕУ који се планирају у 201</w:t>
      </w:r>
      <w:r w:rsidR="00557159">
        <w:rPr>
          <w:lang w:val="ru-RU"/>
        </w:rPr>
        <w:t>8</w:t>
      </w:r>
      <w:r>
        <w:rPr>
          <w:lang w:val="ru-RU"/>
        </w:rPr>
        <w:t>.години, односно пројекти који ће бити реализовани у 201</w:t>
      </w:r>
      <w:r w:rsidR="00557159">
        <w:rPr>
          <w:lang w:val="ru-RU"/>
        </w:rPr>
        <w:t>8</w:t>
      </w:r>
      <w:r>
        <w:rPr>
          <w:lang w:val="ru-RU"/>
        </w:rPr>
        <w:t>.години и две наредне године (предлог доставити у слободној форми са следећим обавезним елементима: назив пројекта, циљ пројект, опис пројекта, буџет пројекта, финансијско учешће у пројекту, рокови почетка и завршетка пројекта, носилац пројекта и партн</w:t>
      </w:r>
      <w:r w:rsidR="003944DE">
        <w:rPr>
          <w:lang w:val="ru-RU"/>
        </w:rPr>
        <w:t>е</w:t>
      </w:r>
      <w:r>
        <w:rPr>
          <w:lang w:val="ru-RU"/>
        </w:rPr>
        <w:t>ри).</w:t>
      </w:r>
    </w:p>
    <w:p w:rsidR="003E3F27" w:rsidRDefault="003E3F27" w:rsidP="00D25A75">
      <w:pPr>
        <w:jc w:val="both"/>
        <w:rPr>
          <w:lang w:val="ru-RU"/>
        </w:rPr>
      </w:pPr>
    </w:p>
    <w:p w:rsidR="003E3F27" w:rsidRDefault="003E3F27" w:rsidP="00D25A75">
      <w:pPr>
        <w:jc w:val="both"/>
        <w:rPr>
          <w:lang w:val="ru-RU"/>
        </w:rPr>
      </w:pPr>
      <w:r>
        <w:rPr>
          <w:lang w:val="ru-RU"/>
        </w:rPr>
        <w:tab/>
        <w:t>Делови предлога</w:t>
      </w:r>
      <w:r w:rsidR="00874881">
        <w:rPr>
          <w:lang w:val="ru-RU"/>
        </w:rPr>
        <w:t xml:space="preserve"> </w:t>
      </w:r>
      <w:r>
        <w:rPr>
          <w:lang w:val="ru-RU"/>
        </w:rPr>
        <w:t xml:space="preserve">финансијског плана састоје се из писаног објашњења, које обухвата и образложење, средњорочну квантификацију и процену ефеката нових политика и инвестиционих приоритета, на основу Упутства за припрему </w:t>
      </w:r>
      <w:r w:rsidR="00874881">
        <w:rPr>
          <w:lang w:val="ru-RU"/>
        </w:rPr>
        <w:t>буџета и средњорочних планова корисника средстава буџета општине и финансијског захтева (члан 37. Закона о буџетском систему се сходно примењује и на јединице локалне самоуправе и њене кориснике у складу са чланом 41. )</w:t>
      </w:r>
    </w:p>
    <w:p w:rsidR="00874881" w:rsidRDefault="00874881" w:rsidP="00D25A75">
      <w:pPr>
        <w:jc w:val="both"/>
        <w:rPr>
          <w:lang w:val="ru-RU"/>
        </w:rPr>
      </w:pPr>
    </w:p>
    <w:p w:rsidR="00874881" w:rsidRDefault="00874881" w:rsidP="00D25A75">
      <w:pPr>
        <w:jc w:val="both"/>
        <w:rPr>
          <w:lang w:val="ru-RU"/>
        </w:rPr>
      </w:pPr>
      <w:r>
        <w:rPr>
          <w:lang w:val="ru-RU"/>
        </w:rPr>
        <w:tab/>
        <w:t>Чланом 112. Закона о буџетском систему предвиђено је да се од доношења одлука о буџету локалних власти за 2015.годину уводи програмски буџет. У том смислу постоји обавеза</w:t>
      </w:r>
      <w:r w:rsidR="002A69D1">
        <w:rPr>
          <w:lang w:val="ru-RU"/>
        </w:rPr>
        <w:t xml:space="preserve"> и</w:t>
      </w:r>
      <w:r>
        <w:rPr>
          <w:lang w:val="ru-RU"/>
        </w:rPr>
        <w:t xml:space="preserve"> корисника буџета да</w:t>
      </w:r>
      <w:r w:rsidR="002A69D1">
        <w:rPr>
          <w:lang w:val="ru-RU"/>
        </w:rPr>
        <w:t xml:space="preserve"> припреме</w:t>
      </w:r>
      <w:r>
        <w:rPr>
          <w:lang w:val="ru-RU"/>
        </w:rPr>
        <w:t xml:space="preserve"> </w:t>
      </w:r>
      <w:r w:rsidRPr="002A69D1">
        <w:rPr>
          <w:lang w:val="ru-RU"/>
        </w:rPr>
        <w:t>предлоге финансијских планова (као саставног дела програма пословања/рада) по програмском моделу.</w:t>
      </w:r>
    </w:p>
    <w:p w:rsidR="00874881" w:rsidRDefault="00874881" w:rsidP="00D25A75">
      <w:pPr>
        <w:jc w:val="both"/>
        <w:rPr>
          <w:lang w:val="ru-RU"/>
        </w:rPr>
      </w:pPr>
      <w:r>
        <w:rPr>
          <w:lang w:val="ru-RU"/>
        </w:rPr>
        <w:tab/>
        <w:t>Предлог финансијских планова буџетских корисника садржи следеће табеле</w:t>
      </w:r>
      <w:r w:rsidR="00E816C2">
        <w:rPr>
          <w:lang w:val="ru-RU"/>
        </w:rPr>
        <w:t xml:space="preserve"> и обрасце</w:t>
      </w:r>
      <w:r>
        <w:rPr>
          <w:lang w:val="ru-RU"/>
        </w:rPr>
        <w:t>:</w:t>
      </w:r>
    </w:p>
    <w:p w:rsidR="00874881" w:rsidRDefault="00874881" w:rsidP="00D25A75">
      <w:pPr>
        <w:jc w:val="both"/>
        <w:rPr>
          <w:lang w:val="ru-RU"/>
        </w:rPr>
      </w:pPr>
    </w:p>
    <w:p w:rsidR="00874881" w:rsidRPr="00B003DC" w:rsidRDefault="00874881" w:rsidP="00874881">
      <w:pPr>
        <w:pStyle w:val="ListParagraph"/>
        <w:numPr>
          <w:ilvl w:val="0"/>
          <w:numId w:val="32"/>
        </w:numPr>
        <w:jc w:val="both"/>
        <w:rPr>
          <w:b/>
          <w:sz w:val="24"/>
          <w:szCs w:val="24"/>
          <w:lang w:val="ru-RU"/>
        </w:rPr>
      </w:pPr>
      <w:r w:rsidRPr="00B003DC">
        <w:rPr>
          <w:b/>
          <w:sz w:val="24"/>
          <w:szCs w:val="24"/>
          <w:lang w:val="ru-RU"/>
        </w:rPr>
        <w:t>Табела 1-зараде запослених</w:t>
      </w:r>
      <w:r w:rsidR="00E816C2">
        <w:rPr>
          <w:b/>
          <w:sz w:val="24"/>
          <w:szCs w:val="24"/>
          <w:lang w:val="ru-RU"/>
        </w:rPr>
        <w:t>;</w:t>
      </w:r>
      <w:r w:rsidRPr="00B003DC">
        <w:rPr>
          <w:b/>
          <w:sz w:val="24"/>
          <w:szCs w:val="24"/>
          <w:lang w:val="ru-RU"/>
        </w:rPr>
        <w:t xml:space="preserve"> </w:t>
      </w:r>
    </w:p>
    <w:p w:rsidR="003944DE" w:rsidRPr="00E816C2" w:rsidRDefault="00874881" w:rsidP="00317E03">
      <w:pPr>
        <w:pStyle w:val="ListParagraph"/>
        <w:numPr>
          <w:ilvl w:val="0"/>
          <w:numId w:val="32"/>
        </w:numPr>
        <w:jc w:val="both"/>
        <w:rPr>
          <w:sz w:val="24"/>
          <w:szCs w:val="24"/>
          <w:lang w:val="ru-RU"/>
        </w:rPr>
      </w:pPr>
      <w:r w:rsidRPr="00B003DC">
        <w:rPr>
          <w:b/>
          <w:sz w:val="24"/>
          <w:szCs w:val="24"/>
          <w:lang w:val="ru-RU"/>
        </w:rPr>
        <w:t>Табела 2 –</w:t>
      </w:r>
      <w:r w:rsidR="00E816C2">
        <w:rPr>
          <w:b/>
          <w:sz w:val="24"/>
          <w:szCs w:val="24"/>
          <w:lang w:val="ru-RU"/>
        </w:rPr>
        <w:t>Капитални пројекти у периоду 201</w:t>
      </w:r>
      <w:r w:rsidR="001F6356">
        <w:rPr>
          <w:b/>
          <w:sz w:val="24"/>
          <w:szCs w:val="24"/>
          <w:lang w:val="ru-RU"/>
        </w:rPr>
        <w:t>8</w:t>
      </w:r>
      <w:r w:rsidR="00E816C2">
        <w:rPr>
          <w:b/>
          <w:sz w:val="24"/>
          <w:szCs w:val="24"/>
          <w:lang w:val="ru-RU"/>
        </w:rPr>
        <w:t>-20</w:t>
      </w:r>
      <w:r w:rsidR="001F6356">
        <w:rPr>
          <w:b/>
          <w:sz w:val="24"/>
          <w:szCs w:val="24"/>
          <w:lang w:val="ru-RU"/>
        </w:rPr>
        <w:t>20</w:t>
      </w:r>
      <w:r w:rsidR="00E816C2">
        <w:rPr>
          <w:b/>
          <w:sz w:val="24"/>
          <w:szCs w:val="24"/>
          <w:lang w:val="ru-RU"/>
        </w:rPr>
        <w:t>.године;</w:t>
      </w:r>
    </w:p>
    <w:p w:rsidR="00E816C2" w:rsidRPr="00317E03" w:rsidRDefault="00E816C2" w:rsidP="00317E03">
      <w:pPr>
        <w:pStyle w:val="ListParagraph"/>
        <w:numPr>
          <w:ilvl w:val="0"/>
          <w:numId w:val="32"/>
        </w:numPr>
        <w:jc w:val="both"/>
        <w:rPr>
          <w:sz w:val="24"/>
          <w:szCs w:val="24"/>
          <w:lang w:val="ru-RU"/>
        </w:rPr>
      </w:pPr>
      <w:r>
        <w:rPr>
          <w:b/>
          <w:sz w:val="24"/>
          <w:szCs w:val="24"/>
          <w:lang w:val="ru-RU"/>
        </w:rPr>
        <w:t>Табела 2а-К</w:t>
      </w:r>
      <w:r w:rsidR="001F6356">
        <w:rPr>
          <w:b/>
          <w:sz w:val="24"/>
          <w:szCs w:val="24"/>
          <w:lang w:val="ru-RU"/>
        </w:rPr>
        <w:t>апитални пројекти у периоду 2018</w:t>
      </w:r>
      <w:r>
        <w:rPr>
          <w:b/>
          <w:sz w:val="24"/>
          <w:szCs w:val="24"/>
          <w:lang w:val="ru-RU"/>
        </w:rPr>
        <w:t>-20</w:t>
      </w:r>
      <w:r w:rsidR="001F6356">
        <w:rPr>
          <w:b/>
          <w:sz w:val="24"/>
          <w:szCs w:val="24"/>
          <w:lang w:val="ru-RU"/>
        </w:rPr>
        <w:t>20</w:t>
      </w:r>
      <w:r>
        <w:rPr>
          <w:b/>
          <w:sz w:val="24"/>
          <w:szCs w:val="24"/>
          <w:lang w:val="ru-RU"/>
        </w:rPr>
        <w:t>.године;</w:t>
      </w:r>
    </w:p>
    <w:p w:rsidR="00E816C2" w:rsidRPr="00E816C2" w:rsidRDefault="00874881" w:rsidP="00E816C2">
      <w:pPr>
        <w:pStyle w:val="ListParagraph"/>
        <w:numPr>
          <w:ilvl w:val="0"/>
          <w:numId w:val="32"/>
        </w:numPr>
        <w:jc w:val="both"/>
        <w:rPr>
          <w:sz w:val="24"/>
          <w:szCs w:val="24"/>
          <w:lang w:val="ru-RU"/>
        </w:rPr>
      </w:pPr>
      <w:r w:rsidRPr="00B003DC">
        <w:rPr>
          <w:b/>
          <w:sz w:val="24"/>
          <w:szCs w:val="24"/>
          <w:lang w:val="ru-RU"/>
        </w:rPr>
        <w:t>Табела 3 – Захтев за</w:t>
      </w:r>
      <w:r w:rsidR="00E816C2">
        <w:rPr>
          <w:b/>
          <w:sz w:val="24"/>
          <w:szCs w:val="24"/>
          <w:lang w:val="ru-RU"/>
        </w:rPr>
        <w:t xml:space="preserve"> текуће издатке, </w:t>
      </w:r>
      <w:r w:rsidR="00E816C2" w:rsidRPr="00E816C2">
        <w:rPr>
          <w:sz w:val="24"/>
          <w:szCs w:val="24"/>
          <w:lang w:val="ru-RU"/>
        </w:rPr>
        <w:t>са подацимаи постојећим активностима и услугама корисника буџетских средстава;</w:t>
      </w:r>
    </w:p>
    <w:p w:rsidR="003944DE" w:rsidRPr="00317E03" w:rsidRDefault="00E816C2" w:rsidP="003944DE">
      <w:pPr>
        <w:pStyle w:val="ListParagraph"/>
        <w:numPr>
          <w:ilvl w:val="0"/>
          <w:numId w:val="32"/>
        </w:numPr>
        <w:jc w:val="both"/>
        <w:rPr>
          <w:sz w:val="24"/>
          <w:szCs w:val="24"/>
          <w:lang w:val="ru-RU"/>
        </w:rPr>
      </w:pPr>
      <w:r>
        <w:rPr>
          <w:b/>
          <w:sz w:val="24"/>
          <w:szCs w:val="24"/>
          <w:lang w:val="ru-RU"/>
        </w:rPr>
        <w:t xml:space="preserve">Табела 4-Захтев за </w:t>
      </w:r>
      <w:r w:rsidR="00874881" w:rsidRPr="00B003DC">
        <w:rPr>
          <w:b/>
          <w:sz w:val="24"/>
          <w:szCs w:val="24"/>
          <w:lang w:val="ru-RU"/>
        </w:rPr>
        <w:t>основна средства</w:t>
      </w:r>
      <w:r w:rsidR="00874881" w:rsidRPr="00B003DC">
        <w:rPr>
          <w:sz w:val="24"/>
          <w:szCs w:val="24"/>
          <w:lang w:val="ru-RU"/>
        </w:rPr>
        <w:t xml:space="preserve">, за набавку </w:t>
      </w:r>
      <w:r w:rsidR="003944DE">
        <w:rPr>
          <w:sz w:val="24"/>
          <w:szCs w:val="24"/>
          <w:lang w:val="ru-RU"/>
        </w:rPr>
        <w:t>опреме, додатна средства за капиталне пројекте започете у претходним фискалним годинама и за нове капиталне пројекте, као приоритете које треба размотрити у поступку доношења буџета;</w:t>
      </w:r>
    </w:p>
    <w:p w:rsidR="003944DE" w:rsidRPr="00317E03" w:rsidRDefault="003944DE" w:rsidP="00317E03">
      <w:pPr>
        <w:pStyle w:val="ListParagraph"/>
        <w:numPr>
          <w:ilvl w:val="0"/>
          <w:numId w:val="32"/>
        </w:numPr>
        <w:jc w:val="both"/>
        <w:rPr>
          <w:sz w:val="24"/>
          <w:szCs w:val="24"/>
          <w:lang w:val="ru-RU"/>
        </w:rPr>
      </w:pPr>
      <w:r>
        <w:rPr>
          <w:b/>
          <w:sz w:val="24"/>
          <w:szCs w:val="24"/>
          <w:lang w:val="ru-RU"/>
        </w:rPr>
        <w:t xml:space="preserve">Табела </w:t>
      </w:r>
      <w:r w:rsidR="00E816C2">
        <w:rPr>
          <w:b/>
          <w:sz w:val="24"/>
          <w:szCs w:val="24"/>
          <w:lang w:val="ru-RU"/>
        </w:rPr>
        <w:t>5</w:t>
      </w:r>
      <w:r>
        <w:rPr>
          <w:b/>
          <w:sz w:val="24"/>
          <w:szCs w:val="24"/>
          <w:lang w:val="ru-RU"/>
        </w:rPr>
        <w:t>-</w:t>
      </w:r>
      <w:r w:rsidR="00E816C2">
        <w:rPr>
          <w:b/>
          <w:sz w:val="24"/>
          <w:szCs w:val="24"/>
          <w:lang w:val="ru-RU"/>
        </w:rPr>
        <w:t xml:space="preserve"> Средства за п</w:t>
      </w:r>
      <w:r>
        <w:rPr>
          <w:b/>
          <w:sz w:val="24"/>
          <w:szCs w:val="24"/>
          <w:lang w:val="ru-RU"/>
        </w:rPr>
        <w:t xml:space="preserve">лате </w:t>
      </w:r>
      <w:r w:rsidR="00E816C2">
        <w:rPr>
          <w:b/>
          <w:sz w:val="24"/>
          <w:szCs w:val="24"/>
          <w:lang w:val="ru-RU"/>
        </w:rPr>
        <w:t>и број</w:t>
      </w:r>
      <w:r w:rsidR="001F6356">
        <w:rPr>
          <w:b/>
          <w:sz w:val="24"/>
          <w:szCs w:val="24"/>
          <w:lang w:val="ru-RU"/>
        </w:rPr>
        <w:t xml:space="preserve"> </w:t>
      </w:r>
      <w:r w:rsidR="00E816C2">
        <w:rPr>
          <w:b/>
          <w:sz w:val="24"/>
          <w:szCs w:val="24"/>
          <w:lang w:val="ru-RU"/>
        </w:rPr>
        <w:t>запослених у  201</w:t>
      </w:r>
      <w:r w:rsidR="001F6356">
        <w:rPr>
          <w:b/>
          <w:sz w:val="24"/>
          <w:szCs w:val="24"/>
          <w:lang w:val="ru-RU"/>
        </w:rPr>
        <w:t>8</w:t>
      </w:r>
      <w:r w:rsidR="00E816C2">
        <w:rPr>
          <w:b/>
          <w:sz w:val="24"/>
          <w:szCs w:val="24"/>
          <w:lang w:val="ru-RU"/>
        </w:rPr>
        <w:t>.години</w:t>
      </w:r>
      <w:r>
        <w:rPr>
          <w:b/>
          <w:sz w:val="24"/>
          <w:szCs w:val="24"/>
          <w:lang w:val="ru-RU"/>
        </w:rPr>
        <w:t>;</w:t>
      </w:r>
    </w:p>
    <w:p w:rsidR="0024534D" w:rsidRPr="0024534D" w:rsidRDefault="00E816C2" w:rsidP="0024534D">
      <w:pPr>
        <w:pStyle w:val="ListParagraph"/>
        <w:numPr>
          <w:ilvl w:val="0"/>
          <w:numId w:val="32"/>
        </w:numPr>
        <w:jc w:val="both"/>
        <w:rPr>
          <w:b/>
          <w:sz w:val="24"/>
          <w:szCs w:val="24"/>
          <w:lang w:val="ru-RU"/>
        </w:rPr>
      </w:pPr>
      <w:r>
        <w:rPr>
          <w:b/>
          <w:sz w:val="24"/>
          <w:szCs w:val="24"/>
          <w:lang w:val="ru-RU"/>
        </w:rPr>
        <w:t>Обрасци1,2 и 3 за програмски буџет</w:t>
      </w:r>
    </w:p>
    <w:p w:rsidR="005D7636" w:rsidRPr="005D7636" w:rsidRDefault="005D7636" w:rsidP="005D7636">
      <w:pPr>
        <w:pStyle w:val="ListParagraph"/>
        <w:rPr>
          <w:b/>
          <w:sz w:val="24"/>
          <w:szCs w:val="24"/>
          <w:lang w:val="ru-RU"/>
        </w:rPr>
      </w:pPr>
    </w:p>
    <w:p w:rsidR="005D7636" w:rsidRDefault="005D7636" w:rsidP="005D7636">
      <w:pPr>
        <w:ind w:left="720"/>
        <w:jc w:val="both"/>
        <w:rPr>
          <w:szCs w:val="24"/>
          <w:lang w:val="ru-RU"/>
        </w:rPr>
      </w:pPr>
      <w:r>
        <w:rPr>
          <w:szCs w:val="24"/>
          <w:lang w:val="ru-RU"/>
        </w:rPr>
        <w:t xml:space="preserve">У табелема 2. и 3. дата је могућност за исказивање </w:t>
      </w:r>
      <w:r w:rsidRPr="005D7636">
        <w:rPr>
          <w:b/>
          <w:szCs w:val="24"/>
          <w:lang w:val="ru-RU"/>
        </w:rPr>
        <w:t>захтева за додатна средства</w:t>
      </w:r>
      <w:r>
        <w:rPr>
          <w:szCs w:val="24"/>
          <w:lang w:val="ru-RU"/>
        </w:rPr>
        <w:t xml:space="preserve">, за </w:t>
      </w:r>
    </w:p>
    <w:p w:rsidR="005D7636" w:rsidRPr="005D7636" w:rsidRDefault="005D7636" w:rsidP="005D7636">
      <w:pPr>
        <w:jc w:val="both"/>
        <w:rPr>
          <w:szCs w:val="24"/>
          <w:lang w:val="ru-RU"/>
        </w:rPr>
      </w:pPr>
      <w:r>
        <w:rPr>
          <w:szCs w:val="24"/>
          <w:lang w:val="ru-RU"/>
        </w:rPr>
        <w:t xml:space="preserve">текуће активности које не могу бити усклађене са ограничењем средстава за текуће издатке, са предлогом приоритета, које треба размотрити у поступку доношења буџета. </w:t>
      </w:r>
    </w:p>
    <w:p w:rsidR="00D64F8D" w:rsidRPr="003944DE" w:rsidRDefault="003E3F27" w:rsidP="003E3F27">
      <w:pPr>
        <w:tabs>
          <w:tab w:val="left" w:pos="1470"/>
        </w:tabs>
        <w:jc w:val="both"/>
        <w:rPr>
          <w:b/>
          <w:szCs w:val="24"/>
          <w:lang w:val="ru-RU"/>
        </w:rPr>
      </w:pPr>
      <w:r w:rsidRPr="003944DE">
        <w:rPr>
          <w:b/>
          <w:szCs w:val="24"/>
          <w:lang w:val="ru-RU"/>
        </w:rPr>
        <w:tab/>
      </w:r>
    </w:p>
    <w:p w:rsidR="00D64F8D" w:rsidRDefault="005D7636" w:rsidP="00D25A75">
      <w:pPr>
        <w:jc w:val="both"/>
        <w:rPr>
          <w:b/>
          <w:szCs w:val="24"/>
          <w:lang w:val="ru-RU"/>
        </w:rPr>
      </w:pPr>
      <w:r>
        <w:rPr>
          <w:szCs w:val="24"/>
          <w:lang w:val="ru-RU"/>
        </w:rPr>
        <w:tab/>
        <w:t xml:space="preserve">Делови наведених предлога финансијских планова састоје се из </w:t>
      </w:r>
      <w:r w:rsidRPr="005D7636">
        <w:rPr>
          <w:b/>
          <w:szCs w:val="24"/>
          <w:lang w:val="ru-RU"/>
        </w:rPr>
        <w:t>писаног објашњења и финансијског захтева.</w:t>
      </w:r>
    </w:p>
    <w:p w:rsidR="005D7636" w:rsidRDefault="005D7636" w:rsidP="00D25A75">
      <w:pPr>
        <w:jc w:val="both"/>
        <w:rPr>
          <w:b/>
          <w:szCs w:val="24"/>
          <w:lang w:val="ru-RU"/>
        </w:rPr>
      </w:pPr>
    </w:p>
    <w:p w:rsidR="005D7636" w:rsidRDefault="005D7636" w:rsidP="00D25A75">
      <w:pPr>
        <w:jc w:val="both"/>
        <w:rPr>
          <w:szCs w:val="24"/>
          <w:lang w:val="ru-RU"/>
        </w:rPr>
      </w:pPr>
      <w:r>
        <w:rPr>
          <w:b/>
          <w:szCs w:val="24"/>
          <w:lang w:val="ru-RU"/>
        </w:rPr>
        <w:tab/>
        <w:t xml:space="preserve">Писано објашњење захтева за текуће издатке </w:t>
      </w:r>
      <w:r>
        <w:rPr>
          <w:szCs w:val="24"/>
          <w:lang w:val="ru-RU"/>
        </w:rPr>
        <w:t>обавезно садржи податке о организационој структури директног корисника буџетских средстава, активностима и услугама</w:t>
      </w:r>
      <w:r w:rsidR="00317E03">
        <w:rPr>
          <w:szCs w:val="24"/>
          <w:lang w:val="ru-RU"/>
        </w:rPr>
        <w:t>,</w:t>
      </w:r>
      <w:r>
        <w:rPr>
          <w:szCs w:val="24"/>
          <w:lang w:val="ru-RU"/>
        </w:rPr>
        <w:t xml:space="preserve"> преглед средстава и запослених, неопходних за активности и услуге у оквиру текућих издатака.</w:t>
      </w:r>
    </w:p>
    <w:p w:rsidR="0024534D" w:rsidRDefault="0024534D" w:rsidP="00D25A75">
      <w:pPr>
        <w:jc w:val="both"/>
        <w:rPr>
          <w:szCs w:val="24"/>
          <w:lang w:val="ru-RU"/>
        </w:rPr>
      </w:pPr>
    </w:p>
    <w:p w:rsidR="00317E03" w:rsidRPr="0024534D" w:rsidRDefault="005D7636" w:rsidP="00D25A75">
      <w:pPr>
        <w:jc w:val="both"/>
        <w:rPr>
          <w:b/>
          <w:szCs w:val="24"/>
          <w:lang w:val="ru-RU"/>
        </w:rPr>
      </w:pPr>
      <w:r>
        <w:rPr>
          <w:szCs w:val="24"/>
          <w:lang w:val="ru-RU"/>
        </w:rPr>
        <w:lastRenderedPageBreak/>
        <w:tab/>
      </w:r>
      <w:r w:rsidRPr="005D7636">
        <w:rPr>
          <w:b/>
          <w:szCs w:val="24"/>
          <w:lang w:val="ru-RU"/>
        </w:rPr>
        <w:t>Средства за плате</w:t>
      </w:r>
      <w:r w:rsidR="0024534D">
        <w:rPr>
          <w:b/>
          <w:szCs w:val="24"/>
          <w:lang w:val="ru-RU"/>
        </w:rPr>
        <w:t xml:space="preserve"> </w:t>
      </w:r>
      <w:r w:rsidR="001F6356">
        <w:rPr>
          <w:szCs w:val="24"/>
          <w:lang w:val="ru-RU"/>
        </w:rPr>
        <w:t>у 2018</w:t>
      </w:r>
      <w:r w:rsidR="0024534D" w:rsidRPr="0024534D">
        <w:rPr>
          <w:szCs w:val="24"/>
          <w:lang w:val="ru-RU"/>
        </w:rPr>
        <w:t xml:space="preserve">.години </w:t>
      </w:r>
      <w:r w:rsidR="00317E03" w:rsidRPr="0024534D">
        <w:rPr>
          <w:szCs w:val="24"/>
          <w:lang w:val="ru-RU"/>
        </w:rPr>
        <w:t>треба планирати полазећи од плата</w:t>
      </w:r>
      <w:r w:rsidR="00841ED8" w:rsidRPr="0024534D">
        <w:rPr>
          <w:szCs w:val="24"/>
          <w:lang w:val="ru-RU"/>
        </w:rPr>
        <w:t xml:space="preserve"> </w:t>
      </w:r>
      <w:r w:rsidR="00317E03" w:rsidRPr="0024534D">
        <w:rPr>
          <w:szCs w:val="24"/>
          <w:lang w:val="ru-RU"/>
        </w:rPr>
        <w:t>исплаћених за јул 201</w:t>
      </w:r>
      <w:r w:rsidR="001F6356">
        <w:rPr>
          <w:szCs w:val="24"/>
          <w:lang w:val="ru-RU"/>
        </w:rPr>
        <w:t>7</w:t>
      </w:r>
      <w:r w:rsidR="00317E03" w:rsidRPr="0024534D">
        <w:rPr>
          <w:szCs w:val="24"/>
          <w:lang w:val="ru-RU"/>
        </w:rPr>
        <w:t>.године. Приликом утврђивања масе средстава за плате у 201</w:t>
      </w:r>
      <w:r w:rsidR="001F6356">
        <w:rPr>
          <w:szCs w:val="24"/>
          <w:lang w:val="ru-RU"/>
        </w:rPr>
        <w:t>8</w:t>
      </w:r>
      <w:r w:rsidR="00317E03" w:rsidRPr="0024534D">
        <w:rPr>
          <w:szCs w:val="24"/>
          <w:lang w:val="ru-RU"/>
        </w:rPr>
        <w:t>.години буџетс</w:t>
      </w:r>
      <w:r w:rsidR="00841ED8" w:rsidRPr="0024534D">
        <w:rPr>
          <w:szCs w:val="24"/>
          <w:lang w:val="ru-RU"/>
        </w:rPr>
        <w:t>к</w:t>
      </w:r>
      <w:r w:rsidR="00317E03" w:rsidRPr="0024534D">
        <w:rPr>
          <w:szCs w:val="24"/>
          <w:lang w:val="ru-RU"/>
        </w:rPr>
        <w:t>и корисници треба да пођу од постојећег броја запослених</w:t>
      </w:r>
      <w:r w:rsidR="00317E03" w:rsidRPr="00317E03">
        <w:rPr>
          <w:b/>
          <w:szCs w:val="24"/>
          <w:lang w:val="ru-RU"/>
        </w:rPr>
        <w:t>.</w:t>
      </w:r>
    </w:p>
    <w:p w:rsidR="00317E03" w:rsidRDefault="00442793" w:rsidP="00D25A75">
      <w:pPr>
        <w:jc w:val="both"/>
        <w:rPr>
          <w:szCs w:val="24"/>
          <w:lang w:val="ru-RU"/>
        </w:rPr>
      </w:pPr>
      <w:r>
        <w:rPr>
          <w:b/>
          <w:szCs w:val="24"/>
          <w:lang w:val="ru-RU"/>
        </w:rPr>
        <w:tab/>
      </w:r>
      <w:r>
        <w:rPr>
          <w:szCs w:val="24"/>
          <w:lang w:val="ru-RU"/>
        </w:rPr>
        <w:t>Законом о начину</w:t>
      </w:r>
      <w:r w:rsidR="00EB2569">
        <w:rPr>
          <w:szCs w:val="24"/>
          <w:lang w:val="ru-RU"/>
        </w:rPr>
        <w:t xml:space="preserve"> </w:t>
      </w:r>
      <w:r>
        <w:rPr>
          <w:szCs w:val="24"/>
          <w:lang w:val="ru-RU"/>
        </w:rPr>
        <w:t>одређивања маскималног броја</w:t>
      </w:r>
      <w:r w:rsidR="000C1CD2">
        <w:rPr>
          <w:szCs w:val="24"/>
          <w:lang w:val="ru-RU"/>
        </w:rPr>
        <w:t xml:space="preserve"> </w:t>
      </w:r>
      <w:r>
        <w:rPr>
          <w:szCs w:val="24"/>
          <w:lang w:val="ru-RU"/>
        </w:rPr>
        <w:t>запослених у јавном сектору утврђен је начин одређивања максималног броја запослених у јавном сектору као и обим и смањењ</w:t>
      </w:r>
      <w:r w:rsidR="000C1CD2">
        <w:rPr>
          <w:szCs w:val="24"/>
          <w:lang w:val="ru-RU"/>
        </w:rPr>
        <w:t>е</w:t>
      </w:r>
      <w:r>
        <w:rPr>
          <w:szCs w:val="24"/>
          <w:lang w:val="ru-RU"/>
        </w:rPr>
        <w:t xml:space="preserve"> броја запослених (рационализација) до достизања максималног броја запослених.</w:t>
      </w:r>
    </w:p>
    <w:p w:rsidR="000358C7" w:rsidRDefault="000358C7" w:rsidP="00D25A75">
      <w:pPr>
        <w:jc w:val="both"/>
        <w:rPr>
          <w:szCs w:val="24"/>
          <w:lang w:val="ru-RU"/>
        </w:rPr>
      </w:pPr>
      <w:r>
        <w:rPr>
          <w:szCs w:val="24"/>
          <w:lang w:val="ru-RU"/>
        </w:rPr>
        <w:tab/>
        <w:t>У систему јавног сектора обухваћен је и систем локалне</w:t>
      </w:r>
      <w:r w:rsidR="000C1CD2">
        <w:rPr>
          <w:szCs w:val="24"/>
          <w:lang w:val="ru-RU"/>
        </w:rPr>
        <w:t xml:space="preserve"> </w:t>
      </w:r>
      <w:r>
        <w:rPr>
          <w:szCs w:val="24"/>
          <w:lang w:val="ru-RU"/>
        </w:rPr>
        <w:t>самоуправе који чине органи јединице локалне смаоуправе, јавне службе, јавна предузећа, правна лица основана од стране тих предузећа, привредна друштва и друге организације које у систему</w:t>
      </w:r>
      <w:r w:rsidR="00EB2569">
        <w:rPr>
          <w:szCs w:val="24"/>
          <w:lang w:val="ru-RU"/>
        </w:rPr>
        <w:t xml:space="preserve"> локалне самоуправе имају обавезу пријављивања податка о запосленима у Регистар, односно запослени чије се плате, односно зараде финанасирају из буџета локалне самоуправе.</w:t>
      </w:r>
    </w:p>
    <w:p w:rsidR="00EB2569" w:rsidRDefault="00EB2569" w:rsidP="00D25A75">
      <w:pPr>
        <w:jc w:val="both"/>
        <w:rPr>
          <w:szCs w:val="24"/>
          <w:lang w:val="ru-RU"/>
        </w:rPr>
      </w:pPr>
      <w:r>
        <w:rPr>
          <w:szCs w:val="24"/>
          <w:lang w:val="ru-RU"/>
        </w:rPr>
        <w:tab/>
        <w:t>У погледу надлежности о утврђивању максималног броја запослених по системима (државни органи, јавне службе, аутономне покрајине и јединице локалне самоуправе). Влада РС за сваку календарску годину утврђује максималан број запослених на предлог Генералног секретаријата Владе, уз претходно прибављено мишљење надлежних министарстава.</w:t>
      </w:r>
    </w:p>
    <w:p w:rsidR="0085250E" w:rsidRDefault="00EB2569" w:rsidP="00D25A75">
      <w:pPr>
        <w:jc w:val="both"/>
        <w:rPr>
          <w:szCs w:val="24"/>
          <w:lang w:val="ru-RU"/>
        </w:rPr>
      </w:pPr>
      <w:r>
        <w:rPr>
          <w:szCs w:val="24"/>
          <w:lang w:val="ru-RU"/>
        </w:rPr>
        <w:tab/>
        <w:t>На основу акта Владе, Скупштина јединице локалне самоуправе</w:t>
      </w:r>
      <w:r w:rsidR="0085250E">
        <w:rPr>
          <w:szCs w:val="24"/>
          <w:lang w:val="ru-RU"/>
        </w:rPr>
        <w:t xml:space="preserve"> својим актом утврђује максималан број запослених понаособ за сваки организациони облик који се налази у систему јединице локалне самоуправе.</w:t>
      </w:r>
    </w:p>
    <w:p w:rsidR="0085250E" w:rsidRDefault="0085250E" w:rsidP="00D25A75">
      <w:pPr>
        <w:jc w:val="both"/>
        <w:rPr>
          <w:szCs w:val="24"/>
          <w:lang w:val="ru-RU"/>
        </w:rPr>
      </w:pPr>
      <w:r>
        <w:rPr>
          <w:szCs w:val="24"/>
          <w:lang w:val="ru-RU"/>
        </w:rPr>
        <w:tab/>
        <w:t>Према Закону о начин одређивања маскималног броја запослених у јавном секотру, о органима општине Мерошина, јавним предузећима и установама чији је оснивач општина Мерошина 31.12.2018.године може бити највише______запослених.</w:t>
      </w:r>
    </w:p>
    <w:p w:rsidR="00705782" w:rsidRPr="000C1CD2" w:rsidRDefault="0085250E" w:rsidP="00705782">
      <w:pPr>
        <w:jc w:val="both"/>
        <w:rPr>
          <w:szCs w:val="24"/>
          <w:lang w:val="ru-RU"/>
        </w:rPr>
      </w:pPr>
      <w:r>
        <w:rPr>
          <w:szCs w:val="24"/>
          <w:lang w:val="ru-RU"/>
        </w:rPr>
        <w:tab/>
        <w:t>Програм оптимизације</w:t>
      </w:r>
      <w:r w:rsidR="00597277">
        <w:rPr>
          <w:szCs w:val="24"/>
          <w:lang w:val="ru-RU"/>
        </w:rPr>
        <w:t xml:space="preserve"> јавног секотра у периоду 2015-</w:t>
      </w:r>
      <w:r w:rsidR="00597277">
        <w:rPr>
          <w:szCs w:val="24"/>
          <w:lang w:val="en-US"/>
        </w:rPr>
        <w:t>2</w:t>
      </w:r>
      <w:r>
        <w:rPr>
          <w:szCs w:val="24"/>
          <w:lang w:val="ru-RU"/>
        </w:rPr>
        <w:t>018.године као једна од основних компоненти структурних реформи јавног сектора требало би да покаже на који</w:t>
      </w:r>
      <w:r w:rsidR="000C1CD2">
        <w:rPr>
          <w:szCs w:val="24"/>
          <w:lang w:val="ru-RU"/>
        </w:rPr>
        <w:t xml:space="preserve"> </w:t>
      </w:r>
      <w:r>
        <w:rPr>
          <w:szCs w:val="24"/>
          <w:lang w:val="ru-RU"/>
        </w:rPr>
        <w:t>начин, кој</w:t>
      </w:r>
      <w:r w:rsidR="000C1CD2">
        <w:rPr>
          <w:szCs w:val="24"/>
          <w:lang w:val="ru-RU"/>
        </w:rPr>
        <w:t>о</w:t>
      </w:r>
      <w:r>
        <w:rPr>
          <w:szCs w:val="24"/>
          <w:lang w:val="ru-RU"/>
        </w:rPr>
        <w:t>м динамиком и мерама се може спровести смањење броја запослених, а да се не наруши делотворност и функицонисање система државне управе и да се кроз функционисано и организационо реструктурирање изврши реорга</w:t>
      </w:r>
      <w:r w:rsidR="000C1CD2">
        <w:rPr>
          <w:szCs w:val="24"/>
          <w:lang w:val="ru-RU"/>
        </w:rPr>
        <w:t>н</w:t>
      </w:r>
      <w:r>
        <w:rPr>
          <w:szCs w:val="24"/>
          <w:lang w:val="ru-RU"/>
        </w:rPr>
        <w:t>изација јавног сектора. То подразуме</w:t>
      </w:r>
      <w:r w:rsidR="000C1CD2">
        <w:rPr>
          <w:szCs w:val="24"/>
          <w:lang w:val="ru-RU"/>
        </w:rPr>
        <w:t>в</w:t>
      </w:r>
      <w:r w:rsidR="001F6356">
        <w:rPr>
          <w:szCs w:val="24"/>
          <w:lang w:val="ru-RU"/>
        </w:rPr>
        <w:t>а и у 2018</w:t>
      </w:r>
      <w:r>
        <w:rPr>
          <w:szCs w:val="24"/>
          <w:lang w:val="ru-RU"/>
        </w:rPr>
        <w:t xml:space="preserve">.гдини процес рационализације тј. </w:t>
      </w:r>
      <w:r w:rsidR="000C1CD2">
        <w:rPr>
          <w:szCs w:val="24"/>
          <w:lang w:val="ru-RU"/>
        </w:rPr>
        <w:t>с</w:t>
      </w:r>
      <w:r>
        <w:rPr>
          <w:szCs w:val="24"/>
          <w:lang w:val="ru-RU"/>
        </w:rPr>
        <w:t xml:space="preserve">мањење броја запослених, имајући у </w:t>
      </w:r>
      <w:r w:rsidR="00597277">
        <w:rPr>
          <w:szCs w:val="24"/>
          <w:lang w:val="ru-RU"/>
        </w:rPr>
        <w:t>виду обавезу да у периоду 2015-</w:t>
      </w:r>
      <w:r w:rsidR="00597277">
        <w:rPr>
          <w:szCs w:val="24"/>
          <w:lang w:val="en-US"/>
        </w:rPr>
        <w:t>2</w:t>
      </w:r>
      <w:r>
        <w:rPr>
          <w:szCs w:val="24"/>
          <w:lang w:val="ru-RU"/>
        </w:rPr>
        <w:t>018 јавну</w:t>
      </w:r>
      <w:r w:rsidR="000C1CD2">
        <w:rPr>
          <w:szCs w:val="24"/>
          <w:lang w:val="ru-RU"/>
        </w:rPr>
        <w:t xml:space="preserve"> </w:t>
      </w:r>
      <w:r>
        <w:rPr>
          <w:szCs w:val="24"/>
          <w:lang w:val="ru-RU"/>
        </w:rPr>
        <w:t>потршњу годишње треба смањити за 5%.</w:t>
      </w:r>
      <w:r w:rsidR="00EB2569">
        <w:rPr>
          <w:szCs w:val="24"/>
          <w:lang w:val="ru-RU"/>
        </w:rPr>
        <w:t xml:space="preserve"> </w:t>
      </w:r>
    </w:p>
    <w:p w:rsidR="00705782" w:rsidRDefault="00705782" w:rsidP="00705782">
      <w:pPr>
        <w:jc w:val="both"/>
        <w:rPr>
          <w:szCs w:val="24"/>
          <w:lang w:val="ru-RU"/>
        </w:rPr>
      </w:pPr>
    </w:p>
    <w:p w:rsidR="00317E03" w:rsidRDefault="00317E03" w:rsidP="00D25A75">
      <w:pPr>
        <w:jc w:val="both"/>
        <w:rPr>
          <w:szCs w:val="24"/>
          <w:lang w:val="ru-RU"/>
        </w:rPr>
      </w:pPr>
      <w:r>
        <w:rPr>
          <w:szCs w:val="24"/>
          <w:lang w:val="ru-RU"/>
        </w:rPr>
        <w:tab/>
      </w:r>
      <w:r w:rsidRPr="00317E03">
        <w:rPr>
          <w:b/>
          <w:szCs w:val="24"/>
          <w:lang w:val="ru-RU"/>
        </w:rPr>
        <w:t>Захтев за додатна средства</w:t>
      </w:r>
      <w:r>
        <w:rPr>
          <w:szCs w:val="24"/>
          <w:lang w:val="ru-RU"/>
        </w:rPr>
        <w:t xml:space="preserve"> пружа кориснику буџетских средстава могућност да евентуално тражи средства за финансирање активности и услуга, које по процени корисника буџетских средстава представљају приоритетне области које треба узети у обзир у планирању буџета за 201</w:t>
      </w:r>
      <w:r w:rsidR="001F6356">
        <w:rPr>
          <w:szCs w:val="24"/>
          <w:lang w:val="ru-RU"/>
        </w:rPr>
        <w:t>8</w:t>
      </w:r>
      <w:r>
        <w:rPr>
          <w:szCs w:val="24"/>
          <w:lang w:val="ru-RU"/>
        </w:rPr>
        <w:t>.годину, а за које није утврђен обим средстава у довољном износу или није уопште утврђен.</w:t>
      </w:r>
    </w:p>
    <w:p w:rsidR="00317E03" w:rsidRDefault="00317E03" w:rsidP="00D25A75">
      <w:pPr>
        <w:jc w:val="both"/>
        <w:rPr>
          <w:szCs w:val="24"/>
          <w:lang w:val="ru-RU"/>
        </w:rPr>
      </w:pPr>
    </w:p>
    <w:p w:rsidR="00317E03" w:rsidRPr="00317E03" w:rsidRDefault="00317E03" w:rsidP="00D25A75">
      <w:pPr>
        <w:jc w:val="both"/>
        <w:rPr>
          <w:szCs w:val="24"/>
          <w:lang w:val="ru-RU"/>
        </w:rPr>
      </w:pPr>
      <w:r>
        <w:rPr>
          <w:szCs w:val="24"/>
          <w:lang w:val="ru-RU"/>
        </w:rPr>
        <w:tab/>
        <w:t xml:space="preserve">Корисник може поднети више од једног захтева за додатно финансирање. За сваки захтев за додатна средства </w:t>
      </w:r>
      <w:r w:rsidRPr="00317E03">
        <w:rPr>
          <w:b/>
          <w:szCs w:val="24"/>
          <w:lang w:val="ru-RU"/>
        </w:rPr>
        <w:t>треба доставити појединачно детаљно писано обрзаложење</w:t>
      </w:r>
      <w:r>
        <w:rPr>
          <w:szCs w:val="24"/>
          <w:lang w:val="ru-RU"/>
        </w:rPr>
        <w:t>. Сваки од захтева мора бити</w:t>
      </w:r>
      <w:r w:rsidR="00841ED8">
        <w:rPr>
          <w:szCs w:val="24"/>
          <w:lang w:val="ru-RU"/>
        </w:rPr>
        <w:t xml:space="preserve"> </w:t>
      </w:r>
      <w:r>
        <w:rPr>
          <w:szCs w:val="24"/>
          <w:lang w:val="ru-RU"/>
        </w:rPr>
        <w:t xml:space="preserve">означен бројем који представља приоритете тог захтева (нпр. </w:t>
      </w:r>
      <w:r w:rsidR="00841ED8">
        <w:rPr>
          <w:szCs w:val="24"/>
          <w:lang w:val="ru-RU"/>
        </w:rPr>
        <w:t>з</w:t>
      </w:r>
      <w:r>
        <w:rPr>
          <w:szCs w:val="24"/>
          <w:lang w:val="ru-RU"/>
        </w:rPr>
        <w:t>ахтев број 1 требало би да означава највиши приоритет корисника буџетских средстава).</w:t>
      </w:r>
    </w:p>
    <w:p w:rsidR="005D7636" w:rsidRDefault="005D7636" w:rsidP="00D25A75">
      <w:pPr>
        <w:jc w:val="both"/>
        <w:rPr>
          <w:b/>
          <w:szCs w:val="24"/>
          <w:lang w:val="ru-RU"/>
        </w:rPr>
      </w:pPr>
      <w:r w:rsidRPr="00317E03">
        <w:rPr>
          <w:b/>
          <w:szCs w:val="24"/>
          <w:lang w:val="ru-RU"/>
        </w:rPr>
        <w:tab/>
      </w:r>
    </w:p>
    <w:p w:rsidR="00841ED8" w:rsidRDefault="00841ED8" w:rsidP="00D25A75">
      <w:pPr>
        <w:jc w:val="both"/>
        <w:rPr>
          <w:szCs w:val="24"/>
        </w:rPr>
      </w:pPr>
      <w:r>
        <w:rPr>
          <w:b/>
          <w:szCs w:val="24"/>
          <w:lang w:val="ru-RU"/>
        </w:rPr>
        <w:tab/>
      </w:r>
      <w:r>
        <w:rPr>
          <w:szCs w:val="24"/>
          <w:lang w:val="ru-RU"/>
        </w:rPr>
        <w:t xml:space="preserve">Писано објашњење </w:t>
      </w:r>
      <w:r w:rsidRPr="00277B8B">
        <w:rPr>
          <w:b/>
          <w:szCs w:val="24"/>
          <w:lang w:val="ru-RU"/>
        </w:rPr>
        <w:t>захтева за основна средства</w:t>
      </w:r>
      <w:r>
        <w:rPr>
          <w:szCs w:val="24"/>
          <w:lang w:val="ru-RU"/>
        </w:rPr>
        <w:t xml:space="preserve"> обавезно садржи, за сваки појединачни захтев, разлоге, опис, план реализације и процену трошкова у вези са коришћењем и одржавањем основн</w:t>
      </w:r>
      <w:r w:rsidR="000C1CD2">
        <w:rPr>
          <w:szCs w:val="24"/>
          <w:lang w:val="ru-RU"/>
        </w:rPr>
        <w:t>о</w:t>
      </w:r>
      <w:r>
        <w:rPr>
          <w:szCs w:val="24"/>
          <w:lang w:val="ru-RU"/>
        </w:rPr>
        <w:t>г средства.</w:t>
      </w:r>
    </w:p>
    <w:p w:rsidR="00E96CEC" w:rsidRDefault="00E96CEC" w:rsidP="00D25A75">
      <w:pPr>
        <w:jc w:val="both"/>
        <w:rPr>
          <w:szCs w:val="24"/>
          <w:lang w:val="sr-Cyrl-CS"/>
        </w:rPr>
      </w:pPr>
    </w:p>
    <w:p w:rsidR="0022099F" w:rsidRPr="0022099F" w:rsidRDefault="0022099F" w:rsidP="00D25A75">
      <w:pPr>
        <w:jc w:val="both"/>
        <w:rPr>
          <w:szCs w:val="24"/>
          <w:lang w:val="sr-Cyrl-CS"/>
        </w:rPr>
      </w:pPr>
    </w:p>
    <w:p w:rsidR="00E96CEC" w:rsidRPr="00D06F0D" w:rsidRDefault="00E96CEC" w:rsidP="00D25A75">
      <w:pPr>
        <w:jc w:val="both"/>
        <w:rPr>
          <w:b/>
          <w:szCs w:val="24"/>
        </w:rPr>
      </w:pPr>
      <w:r>
        <w:rPr>
          <w:szCs w:val="24"/>
        </w:rPr>
        <w:lastRenderedPageBreak/>
        <w:tab/>
      </w:r>
      <w:r w:rsidRPr="00D06F0D">
        <w:rPr>
          <w:b/>
          <w:szCs w:val="24"/>
        </w:rPr>
        <w:t>Програмски буџет</w:t>
      </w:r>
    </w:p>
    <w:p w:rsidR="00E96CEC" w:rsidRDefault="00E96CEC" w:rsidP="00D25A75">
      <w:pPr>
        <w:jc w:val="both"/>
        <w:rPr>
          <w:szCs w:val="24"/>
        </w:rPr>
      </w:pPr>
    </w:p>
    <w:p w:rsidR="00E96CEC" w:rsidRDefault="00E96CEC" w:rsidP="00D25A75">
      <w:pPr>
        <w:jc w:val="both"/>
        <w:rPr>
          <w:szCs w:val="24"/>
        </w:rPr>
      </w:pPr>
      <w:r>
        <w:rPr>
          <w:szCs w:val="24"/>
        </w:rPr>
        <w:tab/>
        <w:t>Посебнонаглашавамо да у складу са одредбама члана2. тачка 58. Члана 112. Закона о буџетском систему локалне смауправе имају обавезу увођења програмског модела буџета у одлуци о буџету локалне власти почев од 2015.године. У том смислу постоји обавеза и корисника буџета да припреме и предлоге финансијских планова (као саставног дела програма пословања/рада) по програмском моделу.</w:t>
      </w:r>
    </w:p>
    <w:p w:rsidR="00E96CEC" w:rsidRDefault="00E96CEC" w:rsidP="00D25A75">
      <w:pPr>
        <w:jc w:val="both"/>
        <w:rPr>
          <w:szCs w:val="24"/>
        </w:rPr>
      </w:pPr>
      <w:r>
        <w:rPr>
          <w:szCs w:val="24"/>
        </w:rPr>
        <w:tab/>
        <w:t>Програмски буџет омогућава бољи учиника јавне управе, већу одговорност корисника буџет, успостављање чвршеће везе између годишњих буџета, утврђивања приоритетних расхода и издатака и већу транспарентност потрошње.</w:t>
      </w:r>
    </w:p>
    <w:p w:rsidR="00E96CEC" w:rsidRDefault="00E96CEC" w:rsidP="00D25A75">
      <w:pPr>
        <w:jc w:val="both"/>
      </w:pPr>
      <w:r>
        <w:rPr>
          <w:szCs w:val="24"/>
        </w:rPr>
        <w:tab/>
        <w:t xml:space="preserve">Обзиром на обавезу примене програмског модела планирања упућујемо корисника буџета Општине Мерошина да се Упутсво за припрему програмског буџета се може наћи на сајту Министарства финансија </w:t>
      </w:r>
      <w:r>
        <w:rPr>
          <w:lang w:val="ru-RU"/>
        </w:rPr>
        <w:t>(</w:t>
      </w:r>
      <w:hyperlink r:id="rId8" w:history="1">
        <w:r w:rsidRPr="00E008FF">
          <w:rPr>
            <w:rStyle w:val="Hyperlink"/>
            <w:lang w:val="en-US"/>
          </w:rPr>
          <w:t>www</w:t>
        </w:r>
        <w:r w:rsidRPr="00E008FF">
          <w:rPr>
            <w:rStyle w:val="Hyperlink"/>
            <w:lang w:val="ru-RU"/>
          </w:rPr>
          <w:t>.</w:t>
        </w:r>
        <w:r w:rsidRPr="00E008FF">
          <w:rPr>
            <w:rStyle w:val="Hyperlink"/>
            <w:lang w:val="en-US"/>
          </w:rPr>
          <w:t>mfin</w:t>
        </w:r>
        <w:r w:rsidRPr="00E008FF">
          <w:rPr>
            <w:rStyle w:val="Hyperlink"/>
            <w:lang w:val="ru-RU"/>
          </w:rPr>
          <w:t>.</w:t>
        </w:r>
        <w:r w:rsidRPr="00E008FF">
          <w:rPr>
            <w:rStyle w:val="Hyperlink"/>
            <w:lang w:val="en-US"/>
          </w:rPr>
          <w:t>gov</w:t>
        </w:r>
        <w:r w:rsidRPr="00E008FF">
          <w:rPr>
            <w:rStyle w:val="Hyperlink"/>
            <w:lang w:val="ru-RU"/>
          </w:rPr>
          <w:t>.</w:t>
        </w:r>
        <w:r w:rsidRPr="00E008FF">
          <w:rPr>
            <w:rStyle w:val="Hyperlink"/>
            <w:lang w:val="en-US"/>
          </w:rPr>
          <w:t>rs</w:t>
        </w:r>
      </w:hyperlink>
      <w:r>
        <w:t xml:space="preserve">), као и на сајту СКГО </w:t>
      </w:r>
      <w:r>
        <w:rPr>
          <w:lang w:val="ru-RU"/>
        </w:rPr>
        <w:t>(</w:t>
      </w:r>
      <w:hyperlink r:id="rId9" w:history="1">
        <w:r w:rsidRPr="00E008FF">
          <w:rPr>
            <w:rStyle w:val="Hyperlink"/>
            <w:lang w:val="en-US"/>
          </w:rPr>
          <w:t>www</w:t>
        </w:r>
        <w:r w:rsidRPr="00E008FF">
          <w:rPr>
            <w:rStyle w:val="Hyperlink"/>
            <w:lang w:val="ru-RU"/>
          </w:rPr>
          <w:t>.</w:t>
        </w:r>
        <w:r w:rsidRPr="00E008FF">
          <w:rPr>
            <w:rStyle w:val="Hyperlink"/>
            <w:lang w:val="en-US"/>
          </w:rPr>
          <w:t>skgo</w:t>
        </w:r>
        <w:r w:rsidRPr="00E008FF">
          <w:rPr>
            <w:rStyle w:val="Hyperlink"/>
            <w:lang w:val="ru-RU"/>
          </w:rPr>
          <w:t>.</w:t>
        </w:r>
        <w:r w:rsidRPr="00E008FF">
          <w:rPr>
            <w:rStyle w:val="Hyperlink"/>
            <w:lang w:val="en-US"/>
          </w:rPr>
          <w:t>org</w:t>
        </w:r>
      </w:hyperlink>
      <w:r>
        <w:t>).</w:t>
      </w:r>
    </w:p>
    <w:p w:rsidR="00CE26F9" w:rsidRDefault="00CE26F9" w:rsidP="00D25A75">
      <w:pPr>
        <w:jc w:val="both"/>
      </w:pPr>
    </w:p>
    <w:p w:rsidR="00E96CEC" w:rsidRPr="00E96CEC" w:rsidRDefault="00E96CEC" w:rsidP="00D25A75">
      <w:pPr>
        <w:jc w:val="both"/>
        <w:rPr>
          <w:szCs w:val="24"/>
        </w:rPr>
      </w:pPr>
      <w:r>
        <w:tab/>
        <w:t>Нарочито је потребно обратити пажњу на шифрарник програма, програмских активности и пројеката који су дати у прилогу тог упутства.</w:t>
      </w:r>
    </w:p>
    <w:p w:rsidR="00841ED8" w:rsidRPr="00E96CEC" w:rsidRDefault="00841ED8" w:rsidP="00D25A75">
      <w:pPr>
        <w:jc w:val="both"/>
        <w:rPr>
          <w:szCs w:val="24"/>
        </w:rPr>
      </w:pPr>
    </w:p>
    <w:p w:rsidR="00841ED8" w:rsidRPr="00841ED8" w:rsidRDefault="00841ED8" w:rsidP="00D25A75">
      <w:pPr>
        <w:jc w:val="both"/>
        <w:rPr>
          <w:b/>
          <w:szCs w:val="24"/>
          <w:lang w:val="ru-RU"/>
        </w:rPr>
      </w:pPr>
      <w:r w:rsidRPr="00E96CEC">
        <w:rPr>
          <w:szCs w:val="24"/>
        </w:rPr>
        <w:tab/>
      </w:r>
      <w:r w:rsidRPr="00841ED8">
        <w:rPr>
          <w:b/>
          <w:szCs w:val="24"/>
          <w:lang w:val="ru-RU"/>
        </w:rPr>
        <w:t>Планирање издатака капиталног пројекта</w:t>
      </w:r>
    </w:p>
    <w:p w:rsidR="00841ED8" w:rsidRDefault="00841ED8" w:rsidP="00D25A75">
      <w:pPr>
        <w:jc w:val="both"/>
        <w:rPr>
          <w:szCs w:val="24"/>
          <w:lang w:val="ru-RU"/>
        </w:rPr>
      </w:pPr>
    </w:p>
    <w:p w:rsidR="00841ED8" w:rsidRDefault="00841ED8" w:rsidP="00D25A75">
      <w:pPr>
        <w:jc w:val="both"/>
        <w:rPr>
          <w:szCs w:val="24"/>
          <w:lang w:val="ru-RU"/>
        </w:rPr>
      </w:pPr>
      <w:r>
        <w:rPr>
          <w:szCs w:val="24"/>
          <w:lang w:val="ru-RU"/>
        </w:rPr>
        <w:tab/>
        <w:t xml:space="preserve">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за буџетску и наредне две године, приказане у табели (Табеле </w:t>
      </w:r>
      <w:r w:rsidR="00A26FAA">
        <w:rPr>
          <w:szCs w:val="24"/>
          <w:lang w:val="ru-RU"/>
        </w:rPr>
        <w:t>2</w:t>
      </w:r>
      <w:r>
        <w:rPr>
          <w:szCs w:val="24"/>
          <w:lang w:val="ru-RU"/>
        </w:rPr>
        <w:t xml:space="preserve">. и </w:t>
      </w:r>
      <w:r w:rsidR="00A26FAA">
        <w:rPr>
          <w:szCs w:val="24"/>
          <w:lang w:val="ru-RU"/>
        </w:rPr>
        <w:t>2</w:t>
      </w:r>
      <w:r>
        <w:rPr>
          <w:szCs w:val="24"/>
          <w:lang w:val="ru-RU"/>
        </w:rPr>
        <w:t>а. Преглед капиталних пројеката даје се у Прилогу). У наведеним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и то:</w:t>
      </w:r>
    </w:p>
    <w:p w:rsidR="00841ED8" w:rsidRDefault="00841ED8" w:rsidP="00D25A75">
      <w:pPr>
        <w:jc w:val="both"/>
        <w:rPr>
          <w:szCs w:val="24"/>
          <w:lang w:val="ru-RU"/>
        </w:rPr>
      </w:pPr>
      <w:r>
        <w:rPr>
          <w:szCs w:val="24"/>
          <w:lang w:val="ru-RU"/>
        </w:rPr>
        <w:tab/>
        <w:t>1) издатке за израду пројектно-техничке документације по конту 5114 (осим уколико је иста већ израђена);</w:t>
      </w:r>
    </w:p>
    <w:p w:rsidR="00841ED8" w:rsidRDefault="00841ED8" w:rsidP="00D25A75">
      <w:pPr>
        <w:jc w:val="both"/>
        <w:rPr>
          <w:szCs w:val="24"/>
          <w:lang w:val="ru-RU"/>
        </w:rPr>
      </w:pPr>
      <w:r>
        <w:rPr>
          <w:szCs w:val="24"/>
          <w:lang w:val="ru-RU"/>
        </w:rPr>
        <w:tab/>
        <w:t>2) издатке за експропријацију земљишта на конту 5411;</w:t>
      </w:r>
    </w:p>
    <w:p w:rsidR="00841ED8" w:rsidRDefault="00841ED8" w:rsidP="00D25A75">
      <w:pPr>
        <w:jc w:val="both"/>
        <w:rPr>
          <w:szCs w:val="24"/>
          <w:lang w:val="ru-RU"/>
        </w:rPr>
      </w:pPr>
      <w:r>
        <w:rPr>
          <w:szCs w:val="24"/>
          <w:lang w:val="ru-RU"/>
        </w:rPr>
        <w:tab/>
        <w:t>3) издатке за извођење радова на изградњи, односно извођење радова на капиталном одржавању на контима 5112 и 5113;</w:t>
      </w:r>
    </w:p>
    <w:p w:rsidR="00841ED8" w:rsidRDefault="00841ED8" w:rsidP="00D25A75">
      <w:pPr>
        <w:jc w:val="both"/>
        <w:rPr>
          <w:szCs w:val="24"/>
          <w:lang w:val="ru-RU"/>
        </w:rPr>
      </w:pPr>
      <w:r>
        <w:rPr>
          <w:szCs w:val="24"/>
          <w:lang w:val="ru-RU"/>
        </w:rPr>
        <w:tab/>
        <w:t>4) издатке за ангажовање стручног надзора на конту 5114 (осим уколико исти нису планирани од стране инвеститора или на неки други начин).</w:t>
      </w:r>
    </w:p>
    <w:p w:rsidR="00841ED8" w:rsidRDefault="00841ED8" w:rsidP="00D25A75">
      <w:pPr>
        <w:jc w:val="both"/>
        <w:rPr>
          <w:szCs w:val="24"/>
          <w:lang w:val="ru-RU"/>
        </w:rPr>
      </w:pPr>
    </w:p>
    <w:p w:rsidR="00841ED8" w:rsidRDefault="00841ED8" w:rsidP="00D25A75">
      <w:pPr>
        <w:jc w:val="both"/>
        <w:rPr>
          <w:szCs w:val="24"/>
          <w:lang w:val="ru-RU"/>
        </w:rPr>
      </w:pPr>
      <w:r>
        <w:rPr>
          <w:szCs w:val="24"/>
          <w:lang w:val="ru-RU"/>
        </w:rPr>
        <w:tab/>
        <w:t>У циљу реалног планирања издатака капиталног пројекта, неопходно је да корисници образложе тренутни статус дозвола и сагласност (локацијска, грађевинска дозвола, сагласности одговарајућих јавних предузећа) које су неопходне за почетак извођења радова. Корисници су дужни да планирају</w:t>
      </w:r>
      <w:r w:rsidR="00277B8B">
        <w:rPr>
          <w:szCs w:val="24"/>
          <w:lang w:val="ru-RU"/>
        </w:rPr>
        <w:t xml:space="preserve"> ра</w:t>
      </w:r>
      <w:r w:rsidR="00A26FAA">
        <w:rPr>
          <w:szCs w:val="24"/>
          <w:lang w:val="ru-RU"/>
        </w:rPr>
        <w:t>с</w:t>
      </w:r>
      <w:r w:rsidR="00277B8B">
        <w:rPr>
          <w:szCs w:val="24"/>
          <w:lang w:val="ru-RU"/>
        </w:rPr>
        <w:t>ходе, који су у вези са добијањемових дозвола и сагласности, на одговарајућим контима .</w:t>
      </w:r>
    </w:p>
    <w:p w:rsidR="00277B8B" w:rsidRDefault="00277B8B" w:rsidP="00D25A75">
      <w:pPr>
        <w:jc w:val="both"/>
        <w:rPr>
          <w:szCs w:val="24"/>
          <w:lang w:val="ru-RU"/>
        </w:rPr>
      </w:pPr>
    </w:p>
    <w:p w:rsidR="00277B8B" w:rsidRDefault="00277B8B" w:rsidP="00D25A75">
      <w:pPr>
        <w:jc w:val="both"/>
        <w:rPr>
          <w:szCs w:val="24"/>
          <w:lang w:val="ru-RU"/>
        </w:rPr>
      </w:pPr>
      <w:r>
        <w:rPr>
          <w:szCs w:val="24"/>
          <w:lang w:val="ru-RU"/>
        </w:rPr>
        <w:tab/>
        <w:t>Такође, на основу свеобухватне процене потреба, пројекте је потребно рангирати по приоритетима, у складу са усвојеним стратешким документима, водећи рачуна да приоритет у финансирању имају већ започети пројекти.</w:t>
      </w:r>
    </w:p>
    <w:p w:rsidR="0022099F" w:rsidRDefault="0022099F" w:rsidP="00D25A75">
      <w:pPr>
        <w:jc w:val="both"/>
        <w:rPr>
          <w:szCs w:val="24"/>
          <w:lang w:val="ru-RU"/>
        </w:rPr>
      </w:pPr>
    </w:p>
    <w:p w:rsidR="001F6356" w:rsidRDefault="001F6356" w:rsidP="00D25A75">
      <w:pPr>
        <w:jc w:val="both"/>
        <w:rPr>
          <w:szCs w:val="24"/>
          <w:lang w:val="ru-RU"/>
        </w:rPr>
      </w:pPr>
      <w:r>
        <w:rPr>
          <w:szCs w:val="24"/>
          <w:lang w:val="ru-RU"/>
        </w:rPr>
        <w:t xml:space="preserve">             Изменама Закона о буџеском систему Сл.гласник РС,број103/2015) буџети локалне ласти имају обавезу да исказују пројекте из области родне равноправности.Приликом предлагања пројеката потребно је поштовати принцип родне равноправности,као и предвидети начин на кој</w:t>
      </w:r>
      <w:r w:rsidR="0022099F">
        <w:rPr>
          <w:szCs w:val="24"/>
          <w:lang w:val="ru-RU"/>
        </w:rPr>
        <w:t xml:space="preserve">и </w:t>
      </w:r>
      <w:r>
        <w:rPr>
          <w:szCs w:val="24"/>
          <w:lang w:val="ru-RU"/>
        </w:rPr>
        <w:t>ће се у образложељу исказати родна анализа.</w:t>
      </w:r>
    </w:p>
    <w:p w:rsidR="00277B8B" w:rsidRDefault="00277B8B" w:rsidP="00D25A75">
      <w:pPr>
        <w:jc w:val="both"/>
        <w:rPr>
          <w:szCs w:val="24"/>
          <w:lang w:val="ru-RU"/>
        </w:rPr>
      </w:pPr>
    </w:p>
    <w:p w:rsidR="00277B8B" w:rsidRDefault="00277B8B" w:rsidP="00D25A75">
      <w:pPr>
        <w:jc w:val="both"/>
        <w:rPr>
          <w:szCs w:val="24"/>
          <w:lang w:val="ru-RU"/>
        </w:rPr>
      </w:pPr>
      <w:r>
        <w:rPr>
          <w:szCs w:val="24"/>
          <w:lang w:val="ru-RU"/>
        </w:rPr>
        <w:tab/>
        <w:t xml:space="preserve">Чланом 22. Закона о буџетском систему дефинисано је да Одлука о буџету и финансијски план директног, односно индиректног корисника буџетских средстава садржи </w:t>
      </w:r>
      <w:r w:rsidRPr="00277B8B">
        <w:rPr>
          <w:b/>
          <w:szCs w:val="24"/>
          <w:u w:val="single"/>
          <w:lang w:val="ru-RU"/>
        </w:rPr>
        <w:t>план сопствених прихода</w:t>
      </w:r>
      <w:r>
        <w:rPr>
          <w:szCs w:val="24"/>
          <w:lang w:val="ru-RU"/>
        </w:rPr>
        <w:t>, као и план њиховог трошења.</w:t>
      </w:r>
    </w:p>
    <w:p w:rsidR="00277B8B" w:rsidRDefault="00277B8B" w:rsidP="00D25A75">
      <w:pPr>
        <w:jc w:val="both"/>
        <w:rPr>
          <w:szCs w:val="24"/>
          <w:lang w:val="ru-RU"/>
        </w:rPr>
      </w:pPr>
    </w:p>
    <w:p w:rsidR="00277B8B" w:rsidRDefault="00277B8B" w:rsidP="00D25A75">
      <w:pPr>
        <w:jc w:val="both"/>
        <w:rPr>
          <w:szCs w:val="24"/>
          <w:lang w:val="ru-RU"/>
        </w:rPr>
      </w:pPr>
      <w:r>
        <w:rPr>
          <w:szCs w:val="24"/>
          <w:lang w:val="ru-RU"/>
        </w:rPr>
        <w:tab/>
      </w:r>
      <w:r w:rsidRPr="00EB44C2">
        <w:rPr>
          <w:b/>
          <w:szCs w:val="24"/>
          <w:lang w:val="ru-RU"/>
        </w:rPr>
        <w:t>Напомене везане за попуњавање табела</w:t>
      </w:r>
      <w:r>
        <w:rPr>
          <w:szCs w:val="24"/>
          <w:lang w:val="ru-RU"/>
        </w:rPr>
        <w:t>:</w:t>
      </w:r>
    </w:p>
    <w:p w:rsidR="00277B8B" w:rsidRDefault="00277B8B" w:rsidP="00D25A75">
      <w:pPr>
        <w:jc w:val="both"/>
        <w:rPr>
          <w:szCs w:val="24"/>
          <w:lang w:val="ru-RU"/>
        </w:rPr>
      </w:pPr>
    </w:p>
    <w:p w:rsidR="00EB44C2" w:rsidRDefault="00277B8B" w:rsidP="00D25A75">
      <w:pPr>
        <w:jc w:val="both"/>
        <w:rPr>
          <w:szCs w:val="24"/>
          <w:lang w:val="ru-RU"/>
        </w:rPr>
      </w:pPr>
      <w:r>
        <w:rPr>
          <w:szCs w:val="24"/>
          <w:lang w:val="ru-RU"/>
        </w:rPr>
        <w:tab/>
        <w:t xml:space="preserve">- Табеле се достављају у штампаном облику, са печатом и потписом функционера </w:t>
      </w:r>
    </w:p>
    <w:p w:rsidR="00277B8B" w:rsidRDefault="00EB44C2" w:rsidP="00EB44C2">
      <w:pPr>
        <w:ind w:firstLine="720"/>
        <w:jc w:val="both"/>
        <w:rPr>
          <w:szCs w:val="24"/>
          <w:lang w:val="ru-RU"/>
        </w:rPr>
      </w:pPr>
      <w:r>
        <w:rPr>
          <w:szCs w:val="24"/>
          <w:lang w:val="ru-RU"/>
        </w:rPr>
        <w:t xml:space="preserve">   </w:t>
      </w:r>
      <w:r w:rsidR="00277B8B">
        <w:rPr>
          <w:szCs w:val="24"/>
          <w:lang w:val="ru-RU"/>
        </w:rPr>
        <w:t>буџетског корисника;</w:t>
      </w:r>
    </w:p>
    <w:p w:rsidR="00277B8B" w:rsidRDefault="00277B8B" w:rsidP="00D25A75">
      <w:pPr>
        <w:jc w:val="both"/>
        <w:rPr>
          <w:szCs w:val="24"/>
          <w:lang w:val="ru-RU"/>
        </w:rPr>
      </w:pPr>
      <w:r>
        <w:rPr>
          <w:szCs w:val="24"/>
          <w:lang w:val="ru-RU"/>
        </w:rPr>
        <w:tab/>
        <w:t>- У табелама се попуњавају само бела поља;</w:t>
      </w:r>
    </w:p>
    <w:p w:rsidR="00277B8B" w:rsidRDefault="00277B8B" w:rsidP="00D25A75">
      <w:pPr>
        <w:jc w:val="both"/>
        <w:rPr>
          <w:szCs w:val="24"/>
          <w:lang w:val="ru-RU"/>
        </w:rPr>
      </w:pPr>
      <w:r>
        <w:rPr>
          <w:szCs w:val="24"/>
          <w:lang w:val="ru-RU"/>
        </w:rPr>
        <w:tab/>
        <w:t>- При попуњавању Табела 2,</w:t>
      </w:r>
      <w:r w:rsidR="00A26FAA">
        <w:rPr>
          <w:szCs w:val="24"/>
          <w:lang w:val="ru-RU"/>
        </w:rPr>
        <w:t>2а,3 и 4</w:t>
      </w:r>
      <w:r>
        <w:rPr>
          <w:szCs w:val="24"/>
          <w:lang w:val="ru-RU"/>
        </w:rPr>
        <w:t>. уносе се износи у хиљадама динара;</w:t>
      </w:r>
    </w:p>
    <w:p w:rsidR="00277B8B" w:rsidRDefault="00277B8B" w:rsidP="00D25A75">
      <w:pPr>
        <w:jc w:val="both"/>
        <w:rPr>
          <w:szCs w:val="24"/>
          <w:lang w:val="ru-RU"/>
        </w:rPr>
      </w:pPr>
      <w:r>
        <w:rPr>
          <w:szCs w:val="24"/>
          <w:lang w:val="ru-RU"/>
        </w:rPr>
        <w:tab/>
        <w:t xml:space="preserve">- Не уносе се зарези, односно тачке, с обзиром да су поља форматирана тако да се </w:t>
      </w:r>
    </w:p>
    <w:p w:rsidR="00277B8B" w:rsidRDefault="00277B8B" w:rsidP="00D25A75">
      <w:pPr>
        <w:jc w:val="both"/>
        <w:rPr>
          <w:szCs w:val="24"/>
          <w:lang w:val="ru-RU"/>
        </w:rPr>
      </w:pPr>
      <w:r>
        <w:rPr>
          <w:szCs w:val="24"/>
          <w:lang w:val="ru-RU"/>
        </w:rPr>
        <w:t xml:space="preserve">              ови сепаратори аутоматски додељују по уношењу цифре.</w:t>
      </w:r>
    </w:p>
    <w:p w:rsidR="00277B8B" w:rsidRDefault="00277B8B" w:rsidP="00D25A75">
      <w:pPr>
        <w:jc w:val="both"/>
        <w:rPr>
          <w:szCs w:val="24"/>
          <w:lang w:val="ru-RU"/>
        </w:rPr>
      </w:pPr>
    </w:p>
    <w:p w:rsidR="00277B8B" w:rsidRPr="00A26FAA" w:rsidRDefault="00277B8B" w:rsidP="00D25A75">
      <w:pPr>
        <w:jc w:val="both"/>
        <w:rPr>
          <w:szCs w:val="24"/>
          <w:lang w:val="ru-RU"/>
        </w:rPr>
      </w:pPr>
      <w:r>
        <w:rPr>
          <w:szCs w:val="24"/>
          <w:lang w:val="ru-RU"/>
        </w:rPr>
        <w:tab/>
      </w:r>
      <w:r w:rsidRPr="00EB44C2">
        <w:rPr>
          <w:b/>
          <w:szCs w:val="24"/>
          <w:lang w:val="ru-RU"/>
        </w:rPr>
        <w:t xml:space="preserve">Упутство и табле </w:t>
      </w:r>
      <w:r w:rsidRPr="00A26FAA">
        <w:rPr>
          <w:szCs w:val="24"/>
          <w:lang w:val="ru-RU"/>
        </w:rPr>
        <w:t xml:space="preserve">можете преузети на </w:t>
      </w:r>
      <w:r w:rsidR="00A26FAA" w:rsidRPr="00A26FAA">
        <w:rPr>
          <w:szCs w:val="24"/>
          <w:lang w:val="ru-RU"/>
        </w:rPr>
        <w:t xml:space="preserve"> почетној страни </w:t>
      </w:r>
      <w:r w:rsidR="00A26FAA">
        <w:rPr>
          <w:szCs w:val="24"/>
          <w:lang w:val="ru-RU"/>
        </w:rPr>
        <w:t>сајта _____________под називом Упутство за припрему буџета општине Мерошина за 2017.годину.</w:t>
      </w:r>
    </w:p>
    <w:p w:rsidR="00EB44C2" w:rsidRDefault="00EB44C2" w:rsidP="00D25A75">
      <w:pPr>
        <w:jc w:val="both"/>
        <w:rPr>
          <w:b/>
          <w:szCs w:val="24"/>
          <w:lang w:val="ru-RU"/>
        </w:rPr>
      </w:pPr>
    </w:p>
    <w:p w:rsidR="00EB44C2" w:rsidRDefault="00EB44C2" w:rsidP="00D25A75">
      <w:pPr>
        <w:jc w:val="both"/>
        <w:rPr>
          <w:b/>
          <w:szCs w:val="24"/>
          <w:lang w:val="ru-RU"/>
        </w:rPr>
      </w:pPr>
      <w:r>
        <w:rPr>
          <w:b/>
          <w:szCs w:val="24"/>
          <w:lang w:val="ru-RU"/>
        </w:rPr>
        <w:tab/>
      </w:r>
      <w:r>
        <w:rPr>
          <w:szCs w:val="24"/>
          <w:lang w:val="ru-RU"/>
        </w:rPr>
        <w:t xml:space="preserve">Рок за достављање предлога финансијских планова директних и индиректних корисника Одељењу за финансије је </w:t>
      </w:r>
      <w:r w:rsidRPr="00EB44C2">
        <w:rPr>
          <w:b/>
          <w:szCs w:val="24"/>
          <w:lang w:val="ru-RU"/>
        </w:rPr>
        <w:t>1. септембар 201</w:t>
      </w:r>
      <w:r w:rsidR="001F6356">
        <w:rPr>
          <w:b/>
          <w:szCs w:val="24"/>
          <w:lang w:val="ru-RU"/>
        </w:rPr>
        <w:t>8</w:t>
      </w:r>
      <w:r w:rsidRPr="00EB44C2">
        <w:rPr>
          <w:b/>
          <w:szCs w:val="24"/>
          <w:lang w:val="ru-RU"/>
        </w:rPr>
        <w:t>.године</w:t>
      </w:r>
    </w:p>
    <w:p w:rsidR="00EB44C2" w:rsidRDefault="00EB44C2" w:rsidP="00D25A75">
      <w:pPr>
        <w:jc w:val="both"/>
        <w:rPr>
          <w:b/>
          <w:szCs w:val="24"/>
          <w:lang w:val="ru-RU"/>
        </w:rPr>
      </w:pPr>
    </w:p>
    <w:p w:rsidR="00EB44C2" w:rsidRDefault="00EB44C2" w:rsidP="00D25A75">
      <w:pPr>
        <w:jc w:val="both"/>
        <w:rPr>
          <w:szCs w:val="24"/>
          <w:lang w:val="ru-RU"/>
        </w:rPr>
      </w:pPr>
      <w:r>
        <w:rPr>
          <w:b/>
          <w:szCs w:val="24"/>
          <w:lang w:val="ru-RU"/>
        </w:rPr>
        <w:tab/>
        <w:t xml:space="preserve">НАПОМЕНА: </w:t>
      </w:r>
      <w:r>
        <w:rPr>
          <w:szCs w:val="24"/>
          <w:lang w:val="ru-RU"/>
        </w:rPr>
        <w:t xml:space="preserve">По усвајању </w:t>
      </w:r>
      <w:r w:rsidR="001F6356">
        <w:rPr>
          <w:szCs w:val="24"/>
          <w:lang w:val="ru-RU"/>
        </w:rPr>
        <w:t>Фискалне стратегије за 2018</w:t>
      </w:r>
      <w:r w:rsidR="00A26FAA">
        <w:rPr>
          <w:szCs w:val="24"/>
          <w:lang w:val="ru-RU"/>
        </w:rPr>
        <w:t>.годину са пројекцијама за 20</w:t>
      </w:r>
      <w:r w:rsidR="001F6356">
        <w:rPr>
          <w:szCs w:val="24"/>
          <w:lang w:val="ru-RU"/>
        </w:rPr>
        <w:t>19</w:t>
      </w:r>
      <w:r w:rsidR="00A26FAA">
        <w:rPr>
          <w:szCs w:val="24"/>
          <w:lang w:val="ru-RU"/>
        </w:rPr>
        <w:t>. и 20</w:t>
      </w:r>
      <w:r w:rsidR="001F6356">
        <w:rPr>
          <w:szCs w:val="24"/>
          <w:lang w:val="ru-RU"/>
        </w:rPr>
        <w:t>20</w:t>
      </w:r>
      <w:r w:rsidR="00A26FAA">
        <w:rPr>
          <w:szCs w:val="24"/>
          <w:lang w:val="ru-RU"/>
        </w:rPr>
        <w:t xml:space="preserve">.годину од стране </w:t>
      </w:r>
      <w:r>
        <w:rPr>
          <w:szCs w:val="24"/>
          <w:lang w:val="ru-RU"/>
        </w:rPr>
        <w:t xml:space="preserve"> </w:t>
      </w:r>
      <w:r w:rsidR="00A26FAA">
        <w:rPr>
          <w:szCs w:val="24"/>
          <w:lang w:val="ru-RU"/>
        </w:rPr>
        <w:t>В</w:t>
      </w:r>
      <w:r>
        <w:rPr>
          <w:szCs w:val="24"/>
          <w:lang w:val="ru-RU"/>
        </w:rPr>
        <w:t xml:space="preserve">ладе Репбулике Србије и доношењу </w:t>
      </w:r>
      <w:r w:rsidRPr="00A26FAA">
        <w:rPr>
          <w:b/>
          <w:szCs w:val="24"/>
          <w:lang w:val="ru-RU"/>
        </w:rPr>
        <w:t>Упутства за припрему одлуке о буџету локалне власти за 201</w:t>
      </w:r>
      <w:r w:rsidR="001F6356">
        <w:rPr>
          <w:b/>
          <w:szCs w:val="24"/>
          <w:lang w:val="ru-RU"/>
        </w:rPr>
        <w:t>8</w:t>
      </w:r>
      <w:r w:rsidRPr="00A26FAA">
        <w:rPr>
          <w:b/>
          <w:szCs w:val="24"/>
          <w:lang w:val="ru-RU"/>
        </w:rPr>
        <w:t>.годину,</w:t>
      </w:r>
      <w:r>
        <w:rPr>
          <w:szCs w:val="24"/>
          <w:lang w:val="ru-RU"/>
        </w:rPr>
        <w:t xml:space="preserve"> који садрже конкретне параметре за утврђивање висине појединих врста расхода, пре свега, плата, као и </w:t>
      </w:r>
      <w:r w:rsidRPr="00A26FAA">
        <w:rPr>
          <w:b/>
          <w:szCs w:val="24"/>
          <w:lang w:val="ru-RU"/>
        </w:rPr>
        <w:t>осталих мера које утичу на јавну потрошњу,</w:t>
      </w:r>
      <w:r>
        <w:rPr>
          <w:szCs w:val="24"/>
          <w:lang w:val="ru-RU"/>
        </w:rPr>
        <w:t xml:space="preserve"> сви буџетски корисници биће благовремено обавештени, како би приступили евентуалним изменама и допунама предлога финансијских</w:t>
      </w:r>
      <w:r w:rsidR="00597277">
        <w:rPr>
          <w:szCs w:val="24"/>
          <w:lang w:val="en-US"/>
        </w:rPr>
        <w:t xml:space="preserve"> </w:t>
      </w:r>
      <w:r>
        <w:rPr>
          <w:szCs w:val="24"/>
          <w:lang w:val="ru-RU"/>
        </w:rPr>
        <w:t>планова.</w:t>
      </w:r>
    </w:p>
    <w:p w:rsidR="00EB44C2" w:rsidRDefault="00EB44C2" w:rsidP="00D25A75">
      <w:pPr>
        <w:jc w:val="both"/>
        <w:rPr>
          <w:szCs w:val="24"/>
          <w:lang w:val="ru-RU"/>
        </w:rPr>
      </w:pPr>
    </w:p>
    <w:p w:rsidR="00EB44C2" w:rsidRDefault="00EB44C2" w:rsidP="00D25A75">
      <w:pPr>
        <w:jc w:val="both"/>
        <w:rPr>
          <w:szCs w:val="24"/>
          <w:lang w:val="ru-RU"/>
        </w:rPr>
      </w:pPr>
    </w:p>
    <w:p w:rsidR="00EB44C2" w:rsidRDefault="00EB44C2" w:rsidP="00D25A75">
      <w:pPr>
        <w:jc w:val="both"/>
        <w:rPr>
          <w:szCs w:val="24"/>
          <w:lang w:val="ru-RU"/>
        </w:rPr>
      </w:pPr>
      <w:r>
        <w:rPr>
          <w:szCs w:val="24"/>
          <w:lang w:val="ru-RU"/>
        </w:rPr>
        <w:tab/>
        <w:t>Број:__________</w:t>
      </w:r>
      <w:r>
        <w:rPr>
          <w:szCs w:val="24"/>
          <w:lang w:val="ru-RU"/>
        </w:rPr>
        <w:br/>
      </w:r>
      <w:r>
        <w:rPr>
          <w:szCs w:val="24"/>
          <w:lang w:val="ru-RU"/>
        </w:rPr>
        <w:tab/>
        <w:t>У Мерошини, _______201</w:t>
      </w:r>
      <w:r w:rsidR="001F6356">
        <w:rPr>
          <w:szCs w:val="24"/>
          <w:lang w:val="ru-RU"/>
        </w:rPr>
        <w:t>7</w:t>
      </w:r>
      <w:r>
        <w:rPr>
          <w:szCs w:val="24"/>
          <w:lang w:val="ru-RU"/>
        </w:rPr>
        <w:t>.године</w:t>
      </w:r>
    </w:p>
    <w:p w:rsidR="00EB44C2" w:rsidRDefault="00EB44C2" w:rsidP="00D25A75">
      <w:pPr>
        <w:jc w:val="both"/>
        <w:rPr>
          <w:szCs w:val="24"/>
          <w:lang w:val="ru-RU"/>
        </w:rPr>
      </w:pPr>
    </w:p>
    <w:p w:rsidR="00EB44C2" w:rsidRDefault="00EB44C2" w:rsidP="00D25A75">
      <w:pPr>
        <w:jc w:val="both"/>
        <w:rPr>
          <w:szCs w:val="24"/>
          <w:lang w:val="ru-RU"/>
        </w:rPr>
      </w:pPr>
    </w:p>
    <w:p w:rsidR="00EB44C2" w:rsidRDefault="00EB44C2" w:rsidP="00D25A75">
      <w:pPr>
        <w:jc w:val="both"/>
        <w:rPr>
          <w:szCs w:val="24"/>
          <w:lang w:val="ru-RU"/>
        </w:rPr>
      </w:pPr>
      <w:r>
        <w:rPr>
          <w:szCs w:val="24"/>
          <w:lang w:val="ru-RU"/>
        </w:rPr>
        <w:tab/>
        <w:t>Руководилац</w:t>
      </w:r>
    </w:p>
    <w:p w:rsidR="00EB44C2" w:rsidRDefault="00EB44C2" w:rsidP="00D25A75">
      <w:pPr>
        <w:jc w:val="both"/>
        <w:rPr>
          <w:szCs w:val="24"/>
          <w:lang w:val="ru-RU"/>
        </w:rPr>
      </w:pPr>
      <w:r>
        <w:rPr>
          <w:szCs w:val="24"/>
          <w:lang w:val="ru-RU"/>
        </w:rPr>
        <w:t xml:space="preserve">    Одељења за финансије,</w:t>
      </w:r>
    </w:p>
    <w:p w:rsidR="00EB44C2" w:rsidRDefault="00EB44C2" w:rsidP="00D25A75">
      <w:pPr>
        <w:jc w:val="both"/>
        <w:rPr>
          <w:szCs w:val="24"/>
          <w:lang w:val="ru-RU"/>
        </w:rPr>
      </w:pPr>
      <w:r>
        <w:rPr>
          <w:szCs w:val="24"/>
          <w:lang w:val="ru-RU"/>
        </w:rPr>
        <w:t xml:space="preserve">     </w:t>
      </w:r>
      <w:r w:rsidR="00A26FAA">
        <w:rPr>
          <w:szCs w:val="24"/>
          <w:lang w:val="ru-RU"/>
        </w:rPr>
        <w:t xml:space="preserve"> Хранислав Ђорђевић</w:t>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sidR="00A26FAA">
        <w:rPr>
          <w:szCs w:val="24"/>
          <w:lang w:val="ru-RU"/>
        </w:rPr>
        <w:tab/>
      </w:r>
      <w:r w:rsidR="00A26FAA">
        <w:rPr>
          <w:szCs w:val="24"/>
          <w:lang w:val="ru-RU"/>
        </w:rPr>
        <w:tab/>
      </w:r>
      <w:r w:rsidR="00A26FAA">
        <w:rPr>
          <w:szCs w:val="24"/>
          <w:lang w:val="ru-RU"/>
        </w:rPr>
        <w:tab/>
      </w:r>
      <w:r w:rsidR="00A26FAA">
        <w:rPr>
          <w:szCs w:val="24"/>
          <w:lang w:val="ru-RU"/>
        </w:rPr>
        <w:tab/>
      </w:r>
      <w:r w:rsidR="00A26FAA">
        <w:rPr>
          <w:szCs w:val="24"/>
          <w:lang w:val="ru-RU"/>
        </w:rPr>
        <w:tab/>
      </w:r>
      <w:r w:rsidR="00A26FAA">
        <w:rPr>
          <w:szCs w:val="24"/>
          <w:lang w:val="ru-RU"/>
        </w:rPr>
        <w:tab/>
      </w:r>
      <w:r w:rsidR="00A26FAA">
        <w:rPr>
          <w:szCs w:val="24"/>
          <w:lang w:val="ru-RU"/>
        </w:rPr>
        <w:tab/>
      </w:r>
      <w:r w:rsidR="00A26FAA">
        <w:rPr>
          <w:szCs w:val="24"/>
          <w:lang w:val="ru-RU"/>
        </w:rPr>
        <w:tab/>
      </w:r>
      <w:r w:rsidR="00A26FAA">
        <w:rPr>
          <w:szCs w:val="24"/>
          <w:lang w:val="ru-RU"/>
        </w:rPr>
        <w:tab/>
      </w:r>
      <w:r w:rsidR="00A26FAA">
        <w:rPr>
          <w:szCs w:val="24"/>
          <w:lang w:val="ru-RU"/>
        </w:rPr>
        <w:tab/>
      </w:r>
      <w:r>
        <w:rPr>
          <w:szCs w:val="24"/>
          <w:lang w:val="ru-RU"/>
        </w:rPr>
        <w:t>Начелник</w:t>
      </w:r>
    </w:p>
    <w:p w:rsidR="00EB44C2" w:rsidRDefault="00EB44C2" w:rsidP="00D25A75">
      <w:pPr>
        <w:jc w:val="both"/>
        <w:rPr>
          <w:szCs w:val="24"/>
          <w:lang w:val="ru-RU"/>
        </w:rPr>
      </w:pP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t xml:space="preserve">     Општинске управе,</w:t>
      </w:r>
    </w:p>
    <w:p w:rsidR="00EB44C2" w:rsidRDefault="00EB44C2" w:rsidP="00D25A75">
      <w:pPr>
        <w:jc w:val="both"/>
        <w:rPr>
          <w:szCs w:val="24"/>
          <w:lang w:val="ru-RU"/>
        </w:rPr>
      </w:pP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r>
      <w:r>
        <w:rPr>
          <w:szCs w:val="24"/>
          <w:lang w:val="ru-RU"/>
        </w:rPr>
        <w:tab/>
        <w:t xml:space="preserve">   </w:t>
      </w:r>
      <w:r w:rsidR="00A26FAA">
        <w:rPr>
          <w:szCs w:val="24"/>
          <w:lang w:val="ru-RU"/>
        </w:rPr>
        <w:t xml:space="preserve">   Драган Петровић</w:t>
      </w:r>
      <w:r w:rsidR="004818C2">
        <w:rPr>
          <w:szCs w:val="24"/>
          <w:lang w:val="ru-RU"/>
        </w:rPr>
        <w:t>,к..к</w:t>
      </w:r>
    </w:p>
    <w:p w:rsidR="004818C2" w:rsidRPr="00EB44C2" w:rsidRDefault="004818C2" w:rsidP="00D25A75">
      <w:pPr>
        <w:jc w:val="both"/>
        <w:rPr>
          <w:szCs w:val="24"/>
          <w:lang w:val="ru-RU"/>
        </w:rPr>
      </w:pPr>
    </w:p>
    <w:sectPr w:rsidR="004818C2" w:rsidRPr="00EB44C2" w:rsidSect="000745AB">
      <w:headerReference w:type="default" r:id="rId10"/>
      <w:footerReference w:type="default" r:id="rId11"/>
      <w:pgSz w:w="12240" w:h="15840"/>
      <w:pgMar w:top="81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95" w:rsidRDefault="00793695" w:rsidP="003B4951">
      <w:r>
        <w:separator/>
      </w:r>
    </w:p>
  </w:endnote>
  <w:endnote w:type="continuationSeparator" w:id="0">
    <w:p w:rsidR="00793695" w:rsidRDefault="00793695" w:rsidP="003B4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4311"/>
      <w:docPartObj>
        <w:docPartGallery w:val="Page Numbers (Bottom of Page)"/>
        <w:docPartUnique/>
      </w:docPartObj>
    </w:sdtPr>
    <w:sdtContent>
      <w:p w:rsidR="00D46A60" w:rsidRDefault="007C5C75">
        <w:pPr>
          <w:pStyle w:val="Footer"/>
          <w:jc w:val="right"/>
        </w:pPr>
        <w:fldSimple w:instr=" PAGE   \* MERGEFORMAT ">
          <w:r w:rsidR="0022099F">
            <w:rPr>
              <w:noProof/>
            </w:rPr>
            <w:t>7</w:t>
          </w:r>
        </w:fldSimple>
      </w:p>
    </w:sdtContent>
  </w:sdt>
  <w:p w:rsidR="00D46A60" w:rsidRDefault="00D46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95" w:rsidRDefault="00793695" w:rsidP="003B4951">
      <w:r>
        <w:separator/>
      </w:r>
    </w:p>
  </w:footnote>
  <w:footnote w:type="continuationSeparator" w:id="0">
    <w:p w:rsidR="00793695" w:rsidRDefault="00793695" w:rsidP="003B4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60" w:rsidRDefault="00D46A60">
    <w:pPr>
      <w:pStyle w:val="Header"/>
      <w:jc w:val="right"/>
    </w:pPr>
  </w:p>
  <w:p w:rsidR="00D46A60" w:rsidRDefault="00D46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60CB22"/>
    <w:lvl w:ilvl="0">
      <w:numFmt w:val="bullet"/>
      <w:lvlText w:val="*"/>
      <w:lvlJc w:val="left"/>
    </w:lvl>
  </w:abstractNum>
  <w:abstractNum w:abstractNumId="1">
    <w:nsid w:val="032B2702"/>
    <w:multiLevelType w:val="hybridMultilevel"/>
    <w:tmpl w:val="139C91A0"/>
    <w:lvl w:ilvl="0" w:tplc="0840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A1E7D"/>
    <w:multiLevelType w:val="multilevel"/>
    <w:tmpl w:val="C510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8729D"/>
    <w:multiLevelType w:val="hybridMultilevel"/>
    <w:tmpl w:val="2878CCE8"/>
    <w:lvl w:ilvl="0" w:tplc="97D2EBA2">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10647D43"/>
    <w:multiLevelType w:val="multilevel"/>
    <w:tmpl w:val="7CCE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933B0"/>
    <w:multiLevelType w:val="hybridMultilevel"/>
    <w:tmpl w:val="7C6CE08C"/>
    <w:lvl w:ilvl="0" w:tplc="983CC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BF1820"/>
    <w:multiLevelType w:val="multilevel"/>
    <w:tmpl w:val="611C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426B2"/>
    <w:multiLevelType w:val="hybridMultilevel"/>
    <w:tmpl w:val="54387FA0"/>
    <w:lvl w:ilvl="0" w:tplc="159EBF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307F3F"/>
    <w:multiLevelType w:val="hybridMultilevel"/>
    <w:tmpl w:val="4E70A9EE"/>
    <w:lvl w:ilvl="0" w:tplc="143A7A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62D50"/>
    <w:multiLevelType w:val="hybridMultilevel"/>
    <w:tmpl w:val="AD1EC426"/>
    <w:lvl w:ilvl="0" w:tplc="A1EE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E314F9"/>
    <w:multiLevelType w:val="hybridMultilevel"/>
    <w:tmpl w:val="7D0A7CC6"/>
    <w:lvl w:ilvl="0" w:tplc="A7340A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4D4883"/>
    <w:multiLevelType w:val="hybridMultilevel"/>
    <w:tmpl w:val="2EBAFF2A"/>
    <w:lvl w:ilvl="0" w:tplc="AB324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75F04"/>
    <w:multiLevelType w:val="hybridMultilevel"/>
    <w:tmpl w:val="501A803A"/>
    <w:lvl w:ilvl="0" w:tplc="D8BADF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814BA5"/>
    <w:multiLevelType w:val="hybridMultilevel"/>
    <w:tmpl w:val="F9CEFFA2"/>
    <w:lvl w:ilvl="0" w:tplc="9684AA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A42174"/>
    <w:multiLevelType w:val="hybridMultilevel"/>
    <w:tmpl w:val="29224404"/>
    <w:lvl w:ilvl="0" w:tplc="DAFEC7D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8AE1A9B"/>
    <w:multiLevelType w:val="hybridMultilevel"/>
    <w:tmpl w:val="44BEA380"/>
    <w:lvl w:ilvl="0" w:tplc="3D0C6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646094"/>
    <w:multiLevelType w:val="multilevel"/>
    <w:tmpl w:val="CDFE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B6088C"/>
    <w:multiLevelType w:val="hybridMultilevel"/>
    <w:tmpl w:val="6E0C1A8C"/>
    <w:lvl w:ilvl="0" w:tplc="68225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D34442"/>
    <w:multiLevelType w:val="hybridMultilevel"/>
    <w:tmpl w:val="576C59A4"/>
    <w:lvl w:ilvl="0" w:tplc="22127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E46EF4"/>
    <w:multiLevelType w:val="hybridMultilevel"/>
    <w:tmpl w:val="1FFA1C02"/>
    <w:lvl w:ilvl="0" w:tplc="DA161B5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1C3CC9"/>
    <w:multiLevelType w:val="hybridMultilevel"/>
    <w:tmpl w:val="D6CA7FFA"/>
    <w:lvl w:ilvl="0" w:tplc="A0BCC54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846D77"/>
    <w:multiLevelType w:val="hybridMultilevel"/>
    <w:tmpl w:val="22CC3000"/>
    <w:lvl w:ilvl="0" w:tplc="9FB219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751FA0"/>
    <w:multiLevelType w:val="hybridMultilevel"/>
    <w:tmpl w:val="3EF49050"/>
    <w:lvl w:ilvl="0" w:tplc="08806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AA61EA"/>
    <w:multiLevelType w:val="hybridMultilevel"/>
    <w:tmpl w:val="C5864D28"/>
    <w:lvl w:ilvl="0" w:tplc="142094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F6823"/>
    <w:multiLevelType w:val="hybridMultilevel"/>
    <w:tmpl w:val="451A7B5A"/>
    <w:lvl w:ilvl="0" w:tplc="D7CA1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766A12"/>
    <w:multiLevelType w:val="hybridMultilevel"/>
    <w:tmpl w:val="E39467B4"/>
    <w:lvl w:ilvl="0" w:tplc="3EA24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CC3861"/>
    <w:multiLevelType w:val="hybridMultilevel"/>
    <w:tmpl w:val="1764A716"/>
    <w:lvl w:ilvl="0" w:tplc="522A9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285BFF"/>
    <w:multiLevelType w:val="hybridMultilevel"/>
    <w:tmpl w:val="1BC25862"/>
    <w:lvl w:ilvl="0" w:tplc="DB665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311938"/>
    <w:multiLevelType w:val="hybridMultilevel"/>
    <w:tmpl w:val="1A4E94FC"/>
    <w:lvl w:ilvl="0" w:tplc="4D7C04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2B16C9"/>
    <w:multiLevelType w:val="hybridMultilevel"/>
    <w:tmpl w:val="BE7080D0"/>
    <w:lvl w:ilvl="0" w:tplc="5B006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9D3744C"/>
    <w:multiLevelType w:val="hybridMultilevel"/>
    <w:tmpl w:val="5A8E8EBC"/>
    <w:lvl w:ilvl="0" w:tplc="CC046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103563"/>
    <w:multiLevelType w:val="hybridMultilevel"/>
    <w:tmpl w:val="321CAA5C"/>
    <w:lvl w:ilvl="0" w:tplc="0B3444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
  </w:num>
  <w:num w:numId="3">
    <w:abstractNumId w:val="17"/>
  </w:num>
  <w:num w:numId="4">
    <w:abstractNumId w:val="3"/>
  </w:num>
  <w:num w:numId="5">
    <w:abstractNumId w:val="9"/>
  </w:num>
  <w:num w:numId="6">
    <w:abstractNumId w:val="28"/>
  </w:num>
  <w:num w:numId="7">
    <w:abstractNumId w:val="22"/>
  </w:num>
  <w:num w:numId="8">
    <w:abstractNumId w:val="25"/>
  </w:num>
  <w:num w:numId="9">
    <w:abstractNumId w:val="29"/>
  </w:num>
  <w:num w:numId="10">
    <w:abstractNumId w:val="5"/>
  </w:num>
  <w:num w:numId="11">
    <w:abstractNumId w:val="27"/>
  </w:num>
  <w:num w:numId="12">
    <w:abstractNumId w:val="24"/>
  </w:num>
  <w:num w:numId="13">
    <w:abstractNumId w:val="7"/>
  </w:num>
  <w:num w:numId="14">
    <w:abstractNumId w:val="11"/>
  </w:num>
  <w:num w:numId="15">
    <w:abstractNumId w:val="18"/>
  </w:num>
  <w:num w:numId="16">
    <w:abstractNumId w:val="20"/>
  </w:num>
  <w:num w:numId="17">
    <w:abstractNumId w:val="12"/>
  </w:num>
  <w:num w:numId="18">
    <w:abstractNumId w:val="21"/>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5"/>
  </w:num>
  <w:num w:numId="21">
    <w:abstractNumId w:val="13"/>
  </w:num>
  <w:num w:numId="22">
    <w:abstractNumId w:val="10"/>
  </w:num>
  <w:num w:numId="23">
    <w:abstractNumId w:val="4"/>
  </w:num>
  <w:num w:numId="24">
    <w:abstractNumId w:val="16"/>
  </w:num>
  <w:num w:numId="25">
    <w:abstractNumId w:val="14"/>
  </w:num>
  <w:num w:numId="26">
    <w:abstractNumId w:val="23"/>
  </w:num>
  <w:num w:numId="27">
    <w:abstractNumId w:val="31"/>
  </w:num>
  <w:num w:numId="28">
    <w:abstractNumId w:val="8"/>
  </w:num>
  <w:num w:numId="29">
    <w:abstractNumId w:val="26"/>
  </w:num>
  <w:num w:numId="30">
    <w:abstractNumId w:val="6"/>
  </w:num>
  <w:num w:numId="31">
    <w:abstractNumId w:val="2"/>
  </w:num>
  <w:num w:numId="32">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28DA"/>
    <w:rsid w:val="000005EB"/>
    <w:rsid w:val="000009F1"/>
    <w:rsid w:val="00001DD3"/>
    <w:rsid w:val="00002422"/>
    <w:rsid w:val="000026C2"/>
    <w:rsid w:val="00002DD2"/>
    <w:rsid w:val="000106C2"/>
    <w:rsid w:val="00011197"/>
    <w:rsid w:val="0001216B"/>
    <w:rsid w:val="000163FD"/>
    <w:rsid w:val="00016BA1"/>
    <w:rsid w:val="000179EC"/>
    <w:rsid w:val="00017B58"/>
    <w:rsid w:val="00020EB6"/>
    <w:rsid w:val="0002124B"/>
    <w:rsid w:val="00021C46"/>
    <w:rsid w:val="000237A3"/>
    <w:rsid w:val="0002475C"/>
    <w:rsid w:val="00025324"/>
    <w:rsid w:val="00027024"/>
    <w:rsid w:val="00033601"/>
    <w:rsid w:val="000337F0"/>
    <w:rsid w:val="000358C7"/>
    <w:rsid w:val="00035AE1"/>
    <w:rsid w:val="000439A1"/>
    <w:rsid w:val="0004545E"/>
    <w:rsid w:val="00045911"/>
    <w:rsid w:val="00051AAB"/>
    <w:rsid w:val="00053505"/>
    <w:rsid w:val="00053D90"/>
    <w:rsid w:val="000557EC"/>
    <w:rsid w:val="000578CB"/>
    <w:rsid w:val="00060545"/>
    <w:rsid w:val="00060E58"/>
    <w:rsid w:val="000619ED"/>
    <w:rsid w:val="000631A0"/>
    <w:rsid w:val="00065805"/>
    <w:rsid w:val="00065941"/>
    <w:rsid w:val="00065947"/>
    <w:rsid w:val="00066389"/>
    <w:rsid w:val="000671EF"/>
    <w:rsid w:val="000677D9"/>
    <w:rsid w:val="00067EA0"/>
    <w:rsid w:val="00071F39"/>
    <w:rsid w:val="000745AB"/>
    <w:rsid w:val="000754FD"/>
    <w:rsid w:val="00080565"/>
    <w:rsid w:val="0008311A"/>
    <w:rsid w:val="0008419E"/>
    <w:rsid w:val="00086E38"/>
    <w:rsid w:val="000908E7"/>
    <w:rsid w:val="000937DD"/>
    <w:rsid w:val="00094A60"/>
    <w:rsid w:val="00095995"/>
    <w:rsid w:val="000961A6"/>
    <w:rsid w:val="0009636C"/>
    <w:rsid w:val="0009789C"/>
    <w:rsid w:val="000A0ABA"/>
    <w:rsid w:val="000A0B24"/>
    <w:rsid w:val="000A1998"/>
    <w:rsid w:val="000A5107"/>
    <w:rsid w:val="000B0B32"/>
    <w:rsid w:val="000B1317"/>
    <w:rsid w:val="000B3521"/>
    <w:rsid w:val="000B49B5"/>
    <w:rsid w:val="000B5AF8"/>
    <w:rsid w:val="000C1CD2"/>
    <w:rsid w:val="000C3748"/>
    <w:rsid w:val="000C54A6"/>
    <w:rsid w:val="000C755C"/>
    <w:rsid w:val="000D2A9A"/>
    <w:rsid w:val="000D70DD"/>
    <w:rsid w:val="000E1379"/>
    <w:rsid w:val="000E1A1A"/>
    <w:rsid w:val="000E3C0F"/>
    <w:rsid w:val="000E7584"/>
    <w:rsid w:val="000E78A9"/>
    <w:rsid w:val="000F1B13"/>
    <w:rsid w:val="000F5126"/>
    <w:rsid w:val="001000A7"/>
    <w:rsid w:val="00101BE2"/>
    <w:rsid w:val="00102205"/>
    <w:rsid w:val="00105C3B"/>
    <w:rsid w:val="00106C22"/>
    <w:rsid w:val="00107F2D"/>
    <w:rsid w:val="001141F3"/>
    <w:rsid w:val="00115578"/>
    <w:rsid w:val="0011758F"/>
    <w:rsid w:val="0012081B"/>
    <w:rsid w:val="00121659"/>
    <w:rsid w:val="00122588"/>
    <w:rsid w:val="001229D1"/>
    <w:rsid w:val="00122B95"/>
    <w:rsid w:val="00123A7F"/>
    <w:rsid w:val="00123CF7"/>
    <w:rsid w:val="0012464D"/>
    <w:rsid w:val="00126CB6"/>
    <w:rsid w:val="001277B3"/>
    <w:rsid w:val="001310B7"/>
    <w:rsid w:val="0013296F"/>
    <w:rsid w:val="001337F7"/>
    <w:rsid w:val="0013394C"/>
    <w:rsid w:val="00134054"/>
    <w:rsid w:val="001357B0"/>
    <w:rsid w:val="001360F7"/>
    <w:rsid w:val="00140047"/>
    <w:rsid w:val="00140D3B"/>
    <w:rsid w:val="0014164C"/>
    <w:rsid w:val="00141FC1"/>
    <w:rsid w:val="00143B62"/>
    <w:rsid w:val="00143BF9"/>
    <w:rsid w:val="0014706A"/>
    <w:rsid w:val="00152BF0"/>
    <w:rsid w:val="0015656F"/>
    <w:rsid w:val="00163ABF"/>
    <w:rsid w:val="0016434A"/>
    <w:rsid w:val="001650D8"/>
    <w:rsid w:val="0017665F"/>
    <w:rsid w:val="00176BBC"/>
    <w:rsid w:val="001775A9"/>
    <w:rsid w:val="00177D75"/>
    <w:rsid w:val="00181178"/>
    <w:rsid w:val="001846DD"/>
    <w:rsid w:val="001856D1"/>
    <w:rsid w:val="0018601D"/>
    <w:rsid w:val="00193BAE"/>
    <w:rsid w:val="00195723"/>
    <w:rsid w:val="00197401"/>
    <w:rsid w:val="001B14EB"/>
    <w:rsid w:val="001B4779"/>
    <w:rsid w:val="001B4AEF"/>
    <w:rsid w:val="001B4B33"/>
    <w:rsid w:val="001B5DAE"/>
    <w:rsid w:val="001B69BA"/>
    <w:rsid w:val="001B7756"/>
    <w:rsid w:val="001C01B3"/>
    <w:rsid w:val="001C0D7A"/>
    <w:rsid w:val="001C28E6"/>
    <w:rsid w:val="001C630C"/>
    <w:rsid w:val="001D354D"/>
    <w:rsid w:val="001D3C87"/>
    <w:rsid w:val="001D40E3"/>
    <w:rsid w:val="001D722A"/>
    <w:rsid w:val="001D7EE3"/>
    <w:rsid w:val="001E1116"/>
    <w:rsid w:val="001E3310"/>
    <w:rsid w:val="001E403F"/>
    <w:rsid w:val="001E4623"/>
    <w:rsid w:val="001E6BD2"/>
    <w:rsid w:val="001E7C1A"/>
    <w:rsid w:val="001F1932"/>
    <w:rsid w:val="001F49F7"/>
    <w:rsid w:val="001F6356"/>
    <w:rsid w:val="002007CF"/>
    <w:rsid w:val="00201374"/>
    <w:rsid w:val="002031CD"/>
    <w:rsid w:val="00203F9E"/>
    <w:rsid w:val="00204C3D"/>
    <w:rsid w:val="00205904"/>
    <w:rsid w:val="0021040D"/>
    <w:rsid w:val="00212D18"/>
    <w:rsid w:val="0021380E"/>
    <w:rsid w:val="002152D4"/>
    <w:rsid w:val="002175BF"/>
    <w:rsid w:val="0022099F"/>
    <w:rsid w:val="00221199"/>
    <w:rsid w:val="00222CA3"/>
    <w:rsid w:val="0022418F"/>
    <w:rsid w:val="0022527B"/>
    <w:rsid w:val="00226637"/>
    <w:rsid w:val="00226B6A"/>
    <w:rsid w:val="00227833"/>
    <w:rsid w:val="00227B5F"/>
    <w:rsid w:val="0023049A"/>
    <w:rsid w:val="0023054B"/>
    <w:rsid w:val="00233AB8"/>
    <w:rsid w:val="00233FD1"/>
    <w:rsid w:val="00237115"/>
    <w:rsid w:val="002407A4"/>
    <w:rsid w:val="00242018"/>
    <w:rsid w:val="0024534D"/>
    <w:rsid w:val="00246AF5"/>
    <w:rsid w:val="00246C76"/>
    <w:rsid w:val="00246E0F"/>
    <w:rsid w:val="002539A6"/>
    <w:rsid w:val="002549D9"/>
    <w:rsid w:val="00254D6C"/>
    <w:rsid w:val="002557FA"/>
    <w:rsid w:val="0025605E"/>
    <w:rsid w:val="00256D42"/>
    <w:rsid w:val="00262AD3"/>
    <w:rsid w:val="002635E3"/>
    <w:rsid w:val="002641E1"/>
    <w:rsid w:val="00265610"/>
    <w:rsid w:val="002679F9"/>
    <w:rsid w:val="00273416"/>
    <w:rsid w:val="002737F3"/>
    <w:rsid w:val="0027749D"/>
    <w:rsid w:val="00277B8B"/>
    <w:rsid w:val="00277F3F"/>
    <w:rsid w:val="00280513"/>
    <w:rsid w:val="0028267E"/>
    <w:rsid w:val="00282CD8"/>
    <w:rsid w:val="002834A7"/>
    <w:rsid w:val="002837A1"/>
    <w:rsid w:val="0028636C"/>
    <w:rsid w:val="00290B00"/>
    <w:rsid w:val="002914A3"/>
    <w:rsid w:val="002918B5"/>
    <w:rsid w:val="002937C3"/>
    <w:rsid w:val="00295E40"/>
    <w:rsid w:val="002963D7"/>
    <w:rsid w:val="002A2482"/>
    <w:rsid w:val="002A4428"/>
    <w:rsid w:val="002A69D1"/>
    <w:rsid w:val="002A6CB0"/>
    <w:rsid w:val="002B0275"/>
    <w:rsid w:val="002B2852"/>
    <w:rsid w:val="002B2A74"/>
    <w:rsid w:val="002B472A"/>
    <w:rsid w:val="002B5B44"/>
    <w:rsid w:val="002C1692"/>
    <w:rsid w:val="002C1E77"/>
    <w:rsid w:val="002C3A8C"/>
    <w:rsid w:val="002C4C10"/>
    <w:rsid w:val="002C6F58"/>
    <w:rsid w:val="002D0FEF"/>
    <w:rsid w:val="002D180A"/>
    <w:rsid w:val="002D27EC"/>
    <w:rsid w:val="002D4114"/>
    <w:rsid w:val="002E0FE3"/>
    <w:rsid w:val="002E3FE5"/>
    <w:rsid w:val="002E59F0"/>
    <w:rsid w:val="002E5E64"/>
    <w:rsid w:val="002F46A2"/>
    <w:rsid w:val="002F48B8"/>
    <w:rsid w:val="002F5299"/>
    <w:rsid w:val="002F5644"/>
    <w:rsid w:val="002F6377"/>
    <w:rsid w:val="003023D6"/>
    <w:rsid w:val="00302F1B"/>
    <w:rsid w:val="003050CD"/>
    <w:rsid w:val="00310929"/>
    <w:rsid w:val="003117BB"/>
    <w:rsid w:val="00315C1A"/>
    <w:rsid w:val="00315C69"/>
    <w:rsid w:val="00315E78"/>
    <w:rsid w:val="00317E03"/>
    <w:rsid w:val="003206E1"/>
    <w:rsid w:val="0032093F"/>
    <w:rsid w:val="00323916"/>
    <w:rsid w:val="0032763D"/>
    <w:rsid w:val="00327F55"/>
    <w:rsid w:val="00332424"/>
    <w:rsid w:val="00332C6C"/>
    <w:rsid w:val="00332FBA"/>
    <w:rsid w:val="00333356"/>
    <w:rsid w:val="0033353A"/>
    <w:rsid w:val="00337A45"/>
    <w:rsid w:val="00337CF3"/>
    <w:rsid w:val="00343072"/>
    <w:rsid w:val="00343EBD"/>
    <w:rsid w:val="003455FF"/>
    <w:rsid w:val="003518E7"/>
    <w:rsid w:val="003568EC"/>
    <w:rsid w:val="00357129"/>
    <w:rsid w:val="00360A17"/>
    <w:rsid w:val="00362E3F"/>
    <w:rsid w:val="00363AF4"/>
    <w:rsid w:val="0036601C"/>
    <w:rsid w:val="003718DF"/>
    <w:rsid w:val="00372651"/>
    <w:rsid w:val="00372724"/>
    <w:rsid w:val="00376466"/>
    <w:rsid w:val="003770D0"/>
    <w:rsid w:val="00380143"/>
    <w:rsid w:val="003811C6"/>
    <w:rsid w:val="003832B4"/>
    <w:rsid w:val="003832F8"/>
    <w:rsid w:val="003848A4"/>
    <w:rsid w:val="00384C29"/>
    <w:rsid w:val="00385042"/>
    <w:rsid w:val="0039008A"/>
    <w:rsid w:val="0039416E"/>
    <w:rsid w:val="003944DE"/>
    <w:rsid w:val="003948F1"/>
    <w:rsid w:val="00395115"/>
    <w:rsid w:val="0039568C"/>
    <w:rsid w:val="00396A79"/>
    <w:rsid w:val="003A03EA"/>
    <w:rsid w:val="003A7FAD"/>
    <w:rsid w:val="003B283D"/>
    <w:rsid w:val="003B32EE"/>
    <w:rsid w:val="003B4951"/>
    <w:rsid w:val="003C036B"/>
    <w:rsid w:val="003C061C"/>
    <w:rsid w:val="003C07AA"/>
    <w:rsid w:val="003C1557"/>
    <w:rsid w:val="003C332B"/>
    <w:rsid w:val="003C631A"/>
    <w:rsid w:val="003C6CFF"/>
    <w:rsid w:val="003D233F"/>
    <w:rsid w:val="003D6445"/>
    <w:rsid w:val="003D68D9"/>
    <w:rsid w:val="003E3F27"/>
    <w:rsid w:val="003E436F"/>
    <w:rsid w:val="003E6105"/>
    <w:rsid w:val="003F002A"/>
    <w:rsid w:val="003F08FF"/>
    <w:rsid w:val="003F2CF4"/>
    <w:rsid w:val="003F432C"/>
    <w:rsid w:val="003F6721"/>
    <w:rsid w:val="00402F55"/>
    <w:rsid w:val="00403C4D"/>
    <w:rsid w:val="00404C3A"/>
    <w:rsid w:val="00411B9B"/>
    <w:rsid w:val="0041300A"/>
    <w:rsid w:val="004150CC"/>
    <w:rsid w:val="00417272"/>
    <w:rsid w:val="0042185B"/>
    <w:rsid w:val="004230BA"/>
    <w:rsid w:val="00423510"/>
    <w:rsid w:val="004275E1"/>
    <w:rsid w:val="004315D2"/>
    <w:rsid w:val="004327B7"/>
    <w:rsid w:val="00432F21"/>
    <w:rsid w:val="0043325A"/>
    <w:rsid w:val="00434DD5"/>
    <w:rsid w:val="00435F5F"/>
    <w:rsid w:val="00436E72"/>
    <w:rsid w:val="00441833"/>
    <w:rsid w:val="00442793"/>
    <w:rsid w:val="00443922"/>
    <w:rsid w:val="004444EA"/>
    <w:rsid w:val="00444A38"/>
    <w:rsid w:val="00444DD6"/>
    <w:rsid w:val="00445611"/>
    <w:rsid w:val="00453A83"/>
    <w:rsid w:val="004551EB"/>
    <w:rsid w:val="004568E6"/>
    <w:rsid w:val="00460959"/>
    <w:rsid w:val="00465567"/>
    <w:rsid w:val="00465672"/>
    <w:rsid w:val="0046604C"/>
    <w:rsid w:val="0046722E"/>
    <w:rsid w:val="004701A4"/>
    <w:rsid w:val="0047057B"/>
    <w:rsid w:val="004747CF"/>
    <w:rsid w:val="00474930"/>
    <w:rsid w:val="004760CA"/>
    <w:rsid w:val="00476671"/>
    <w:rsid w:val="00477F1E"/>
    <w:rsid w:val="004818C2"/>
    <w:rsid w:val="0048489D"/>
    <w:rsid w:val="00484BDD"/>
    <w:rsid w:val="00484EF6"/>
    <w:rsid w:val="0048560B"/>
    <w:rsid w:val="00491081"/>
    <w:rsid w:val="00494F68"/>
    <w:rsid w:val="004950D5"/>
    <w:rsid w:val="00497AA9"/>
    <w:rsid w:val="004A0F75"/>
    <w:rsid w:val="004A45BB"/>
    <w:rsid w:val="004A7525"/>
    <w:rsid w:val="004B0E89"/>
    <w:rsid w:val="004B2196"/>
    <w:rsid w:val="004B254D"/>
    <w:rsid w:val="004B2EC5"/>
    <w:rsid w:val="004B4258"/>
    <w:rsid w:val="004B4E76"/>
    <w:rsid w:val="004B61D3"/>
    <w:rsid w:val="004C24F0"/>
    <w:rsid w:val="004C2D37"/>
    <w:rsid w:val="004C3672"/>
    <w:rsid w:val="004C4C12"/>
    <w:rsid w:val="004C5333"/>
    <w:rsid w:val="004D5B8D"/>
    <w:rsid w:val="004D5C48"/>
    <w:rsid w:val="004D60BC"/>
    <w:rsid w:val="004E0120"/>
    <w:rsid w:val="004E0EBF"/>
    <w:rsid w:val="004E14E6"/>
    <w:rsid w:val="004E2539"/>
    <w:rsid w:val="004E4505"/>
    <w:rsid w:val="004E4F5C"/>
    <w:rsid w:val="004E60EF"/>
    <w:rsid w:val="004E65CF"/>
    <w:rsid w:val="004E6882"/>
    <w:rsid w:val="004F229A"/>
    <w:rsid w:val="004F34CD"/>
    <w:rsid w:val="004F42F3"/>
    <w:rsid w:val="004F7DAE"/>
    <w:rsid w:val="0050063F"/>
    <w:rsid w:val="00502CE3"/>
    <w:rsid w:val="0050491E"/>
    <w:rsid w:val="00506544"/>
    <w:rsid w:val="00511996"/>
    <w:rsid w:val="00514FE0"/>
    <w:rsid w:val="00515E97"/>
    <w:rsid w:val="00517D0F"/>
    <w:rsid w:val="005205FC"/>
    <w:rsid w:val="00521D2E"/>
    <w:rsid w:val="00521E21"/>
    <w:rsid w:val="005257CA"/>
    <w:rsid w:val="00526AB5"/>
    <w:rsid w:val="00527BF0"/>
    <w:rsid w:val="00527D7E"/>
    <w:rsid w:val="0053320D"/>
    <w:rsid w:val="00533694"/>
    <w:rsid w:val="00544452"/>
    <w:rsid w:val="00545107"/>
    <w:rsid w:val="005475BF"/>
    <w:rsid w:val="0055001A"/>
    <w:rsid w:val="00551284"/>
    <w:rsid w:val="00553D0E"/>
    <w:rsid w:val="00554ADD"/>
    <w:rsid w:val="00554E05"/>
    <w:rsid w:val="005552E5"/>
    <w:rsid w:val="00557159"/>
    <w:rsid w:val="00557214"/>
    <w:rsid w:val="005601B5"/>
    <w:rsid w:val="00562821"/>
    <w:rsid w:val="005628B6"/>
    <w:rsid w:val="005634C9"/>
    <w:rsid w:val="005642B4"/>
    <w:rsid w:val="005652A2"/>
    <w:rsid w:val="0057049F"/>
    <w:rsid w:val="0057101B"/>
    <w:rsid w:val="00573B41"/>
    <w:rsid w:val="005740B8"/>
    <w:rsid w:val="0057422B"/>
    <w:rsid w:val="00574376"/>
    <w:rsid w:val="00574DD7"/>
    <w:rsid w:val="00580A44"/>
    <w:rsid w:val="005821CB"/>
    <w:rsid w:val="005862E5"/>
    <w:rsid w:val="00586F98"/>
    <w:rsid w:val="00590F39"/>
    <w:rsid w:val="00593A5E"/>
    <w:rsid w:val="0059411A"/>
    <w:rsid w:val="00597277"/>
    <w:rsid w:val="005A0518"/>
    <w:rsid w:val="005A0DD3"/>
    <w:rsid w:val="005A1CD3"/>
    <w:rsid w:val="005A28A8"/>
    <w:rsid w:val="005A634F"/>
    <w:rsid w:val="005B01E7"/>
    <w:rsid w:val="005B1EBB"/>
    <w:rsid w:val="005B5270"/>
    <w:rsid w:val="005B6A4C"/>
    <w:rsid w:val="005B7916"/>
    <w:rsid w:val="005C13DA"/>
    <w:rsid w:val="005C1840"/>
    <w:rsid w:val="005C5925"/>
    <w:rsid w:val="005C5A06"/>
    <w:rsid w:val="005D187D"/>
    <w:rsid w:val="005D2189"/>
    <w:rsid w:val="005D2766"/>
    <w:rsid w:val="005D528B"/>
    <w:rsid w:val="005D7636"/>
    <w:rsid w:val="005E19B7"/>
    <w:rsid w:val="005E1BEB"/>
    <w:rsid w:val="005E218F"/>
    <w:rsid w:val="005E2DDE"/>
    <w:rsid w:val="005E639E"/>
    <w:rsid w:val="005F09F4"/>
    <w:rsid w:val="005F56B0"/>
    <w:rsid w:val="005F5759"/>
    <w:rsid w:val="0060161D"/>
    <w:rsid w:val="00601F13"/>
    <w:rsid w:val="00603C2D"/>
    <w:rsid w:val="00604501"/>
    <w:rsid w:val="0060642B"/>
    <w:rsid w:val="006074D3"/>
    <w:rsid w:val="00610B9F"/>
    <w:rsid w:val="00611B18"/>
    <w:rsid w:val="006163A4"/>
    <w:rsid w:val="00617C66"/>
    <w:rsid w:val="00617C8F"/>
    <w:rsid w:val="0062037F"/>
    <w:rsid w:val="00622222"/>
    <w:rsid w:val="00624665"/>
    <w:rsid w:val="00630C67"/>
    <w:rsid w:val="0063723A"/>
    <w:rsid w:val="006438C5"/>
    <w:rsid w:val="00644F4E"/>
    <w:rsid w:val="00645872"/>
    <w:rsid w:val="006460AF"/>
    <w:rsid w:val="006469B5"/>
    <w:rsid w:val="00647DD7"/>
    <w:rsid w:val="0065110B"/>
    <w:rsid w:val="00654432"/>
    <w:rsid w:val="006551BD"/>
    <w:rsid w:val="00655698"/>
    <w:rsid w:val="00660D77"/>
    <w:rsid w:val="0066487C"/>
    <w:rsid w:val="006663E7"/>
    <w:rsid w:val="00666531"/>
    <w:rsid w:val="00667A0B"/>
    <w:rsid w:val="0067146C"/>
    <w:rsid w:val="00676575"/>
    <w:rsid w:val="00677022"/>
    <w:rsid w:val="00677275"/>
    <w:rsid w:val="006773F2"/>
    <w:rsid w:val="00677671"/>
    <w:rsid w:val="006809A5"/>
    <w:rsid w:val="00683075"/>
    <w:rsid w:val="006831F4"/>
    <w:rsid w:val="00683879"/>
    <w:rsid w:val="00684436"/>
    <w:rsid w:val="0068587A"/>
    <w:rsid w:val="00690031"/>
    <w:rsid w:val="00691307"/>
    <w:rsid w:val="006915DC"/>
    <w:rsid w:val="006919DE"/>
    <w:rsid w:val="00693D0D"/>
    <w:rsid w:val="00695848"/>
    <w:rsid w:val="006A04AD"/>
    <w:rsid w:val="006A444A"/>
    <w:rsid w:val="006A4E0E"/>
    <w:rsid w:val="006A503F"/>
    <w:rsid w:val="006A5291"/>
    <w:rsid w:val="006A70ED"/>
    <w:rsid w:val="006B6B53"/>
    <w:rsid w:val="006B6E18"/>
    <w:rsid w:val="006B7D4E"/>
    <w:rsid w:val="006C0A37"/>
    <w:rsid w:val="006C123A"/>
    <w:rsid w:val="006C242C"/>
    <w:rsid w:val="006C5A7F"/>
    <w:rsid w:val="006C5D5E"/>
    <w:rsid w:val="006C6123"/>
    <w:rsid w:val="006D2205"/>
    <w:rsid w:val="006D3978"/>
    <w:rsid w:val="006E1514"/>
    <w:rsid w:val="006E2686"/>
    <w:rsid w:val="006E41AA"/>
    <w:rsid w:val="006E43DD"/>
    <w:rsid w:val="006E636A"/>
    <w:rsid w:val="006E6D91"/>
    <w:rsid w:val="006E7862"/>
    <w:rsid w:val="006F1FE8"/>
    <w:rsid w:val="006F222A"/>
    <w:rsid w:val="006F2E21"/>
    <w:rsid w:val="006F6EED"/>
    <w:rsid w:val="006F7BB1"/>
    <w:rsid w:val="00700596"/>
    <w:rsid w:val="00702033"/>
    <w:rsid w:val="00702606"/>
    <w:rsid w:val="00702AB5"/>
    <w:rsid w:val="00705782"/>
    <w:rsid w:val="00705DBC"/>
    <w:rsid w:val="00706194"/>
    <w:rsid w:val="00707070"/>
    <w:rsid w:val="00707448"/>
    <w:rsid w:val="00707AF5"/>
    <w:rsid w:val="00711D9C"/>
    <w:rsid w:val="00715E05"/>
    <w:rsid w:val="00716E6D"/>
    <w:rsid w:val="007175DE"/>
    <w:rsid w:val="00717A03"/>
    <w:rsid w:val="00720398"/>
    <w:rsid w:val="0072202F"/>
    <w:rsid w:val="00725B7A"/>
    <w:rsid w:val="00726343"/>
    <w:rsid w:val="007305FF"/>
    <w:rsid w:val="007310DC"/>
    <w:rsid w:val="0073171B"/>
    <w:rsid w:val="00731E4D"/>
    <w:rsid w:val="007377F6"/>
    <w:rsid w:val="00740ADA"/>
    <w:rsid w:val="00740F4C"/>
    <w:rsid w:val="007427CF"/>
    <w:rsid w:val="007468EA"/>
    <w:rsid w:val="007502EB"/>
    <w:rsid w:val="00751108"/>
    <w:rsid w:val="007544ED"/>
    <w:rsid w:val="00757D67"/>
    <w:rsid w:val="00762583"/>
    <w:rsid w:val="007626F8"/>
    <w:rsid w:val="00762DE2"/>
    <w:rsid w:val="0076552B"/>
    <w:rsid w:val="00766AEC"/>
    <w:rsid w:val="00767131"/>
    <w:rsid w:val="007717D9"/>
    <w:rsid w:val="0077479D"/>
    <w:rsid w:val="0077625D"/>
    <w:rsid w:val="00776D45"/>
    <w:rsid w:val="007777A5"/>
    <w:rsid w:val="007805A4"/>
    <w:rsid w:val="00783929"/>
    <w:rsid w:val="007854E9"/>
    <w:rsid w:val="00786589"/>
    <w:rsid w:val="00786AED"/>
    <w:rsid w:val="00786BA7"/>
    <w:rsid w:val="00787BCB"/>
    <w:rsid w:val="00787CE9"/>
    <w:rsid w:val="007915E1"/>
    <w:rsid w:val="00791F87"/>
    <w:rsid w:val="007932A6"/>
    <w:rsid w:val="00793695"/>
    <w:rsid w:val="00795A19"/>
    <w:rsid w:val="007A0B4B"/>
    <w:rsid w:val="007A51C5"/>
    <w:rsid w:val="007A5350"/>
    <w:rsid w:val="007B1D4C"/>
    <w:rsid w:val="007B567C"/>
    <w:rsid w:val="007B72ED"/>
    <w:rsid w:val="007B7A76"/>
    <w:rsid w:val="007B7C94"/>
    <w:rsid w:val="007C00F9"/>
    <w:rsid w:val="007C1E30"/>
    <w:rsid w:val="007C23C9"/>
    <w:rsid w:val="007C36E3"/>
    <w:rsid w:val="007C4E71"/>
    <w:rsid w:val="007C5923"/>
    <w:rsid w:val="007C5C75"/>
    <w:rsid w:val="007D0908"/>
    <w:rsid w:val="007D4835"/>
    <w:rsid w:val="007E1762"/>
    <w:rsid w:val="007E2F06"/>
    <w:rsid w:val="007E3FEE"/>
    <w:rsid w:val="007E486A"/>
    <w:rsid w:val="007E4E20"/>
    <w:rsid w:val="007E7E9C"/>
    <w:rsid w:val="007F0C5E"/>
    <w:rsid w:val="007F40AA"/>
    <w:rsid w:val="007F5AAE"/>
    <w:rsid w:val="00800152"/>
    <w:rsid w:val="00801BB6"/>
    <w:rsid w:val="00803F94"/>
    <w:rsid w:val="0080547C"/>
    <w:rsid w:val="00807465"/>
    <w:rsid w:val="00810F3E"/>
    <w:rsid w:val="00811020"/>
    <w:rsid w:val="00811BA7"/>
    <w:rsid w:val="0081632C"/>
    <w:rsid w:val="0081729D"/>
    <w:rsid w:val="00822403"/>
    <w:rsid w:val="008253BF"/>
    <w:rsid w:val="00826EB1"/>
    <w:rsid w:val="00832158"/>
    <w:rsid w:val="0083438B"/>
    <w:rsid w:val="008349CF"/>
    <w:rsid w:val="0083628E"/>
    <w:rsid w:val="00836758"/>
    <w:rsid w:val="00840BC4"/>
    <w:rsid w:val="00841ED8"/>
    <w:rsid w:val="008430AF"/>
    <w:rsid w:val="008442D4"/>
    <w:rsid w:val="008443DA"/>
    <w:rsid w:val="00845FC4"/>
    <w:rsid w:val="008471EA"/>
    <w:rsid w:val="008473A5"/>
    <w:rsid w:val="00847DD2"/>
    <w:rsid w:val="008523FA"/>
    <w:rsid w:val="0085250E"/>
    <w:rsid w:val="00853891"/>
    <w:rsid w:val="00854705"/>
    <w:rsid w:val="008548A3"/>
    <w:rsid w:val="00854A3D"/>
    <w:rsid w:val="008558F2"/>
    <w:rsid w:val="00855CA6"/>
    <w:rsid w:val="008564E9"/>
    <w:rsid w:val="0085694C"/>
    <w:rsid w:val="00857BEC"/>
    <w:rsid w:val="00860D55"/>
    <w:rsid w:val="00861761"/>
    <w:rsid w:val="00861B8B"/>
    <w:rsid w:val="008628F1"/>
    <w:rsid w:val="008673DD"/>
    <w:rsid w:val="008677CF"/>
    <w:rsid w:val="00870A2D"/>
    <w:rsid w:val="00871A55"/>
    <w:rsid w:val="00874881"/>
    <w:rsid w:val="008764B3"/>
    <w:rsid w:val="00880758"/>
    <w:rsid w:val="00881BA2"/>
    <w:rsid w:val="00884378"/>
    <w:rsid w:val="008847AA"/>
    <w:rsid w:val="00884B41"/>
    <w:rsid w:val="00887BF4"/>
    <w:rsid w:val="00892BC5"/>
    <w:rsid w:val="00892BEE"/>
    <w:rsid w:val="00892C72"/>
    <w:rsid w:val="008931F2"/>
    <w:rsid w:val="00894A1F"/>
    <w:rsid w:val="00895DC3"/>
    <w:rsid w:val="008A05E4"/>
    <w:rsid w:val="008A085D"/>
    <w:rsid w:val="008A35B6"/>
    <w:rsid w:val="008A58C7"/>
    <w:rsid w:val="008A6718"/>
    <w:rsid w:val="008B27E6"/>
    <w:rsid w:val="008B37D2"/>
    <w:rsid w:val="008C1BDD"/>
    <w:rsid w:val="008C20EB"/>
    <w:rsid w:val="008C28DA"/>
    <w:rsid w:val="008C3DBC"/>
    <w:rsid w:val="008C4CD7"/>
    <w:rsid w:val="008C7E51"/>
    <w:rsid w:val="008D1B84"/>
    <w:rsid w:val="008D4763"/>
    <w:rsid w:val="008D658D"/>
    <w:rsid w:val="008E3122"/>
    <w:rsid w:val="008F0D5B"/>
    <w:rsid w:val="008F1666"/>
    <w:rsid w:val="008F1F76"/>
    <w:rsid w:val="008F21C6"/>
    <w:rsid w:val="008F261E"/>
    <w:rsid w:val="008F79C5"/>
    <w:rsid w:val="009012C2"/>
    <w:rsid w:val="0090166A"/>
    <w:rsid w:val="0090372F"/>
    <w:rsid w:val="00905821"/>
    <w:rsid w:val="009138B2"/>
    <w:rsid w:val="00917BFB"/>
    <w:rsid w:val="00922B16"/>
    <w:rsid w:val="00926AF2"/>
    <w:rsid w:val="00926B00"/>
    <w:rsid w:val="00927241"/>
    <w:rsid w:val="009275DA"/>
    <w:rsid w:val="0093084E"/>
    <w:rsid w:val="009336F9"/>
    <w:rsid w:val="00934FDA"/>
    <w:rsid w:val="00947C6C"/>
    <w:rsid w:val="00950D33"/>
    <w:rsid w:val="00950DB0"/>
    <w:rsid w:val="00951685"/>
    <w:rsid w:val="0095279D"/>
    <w:rsid w:val="009533D8"/>
    <w:rsid w:val="00955CAE"/>
    <w:rsid w:val="00957D06"/>
    <w:rsid w:val="009600B1"/>
    <w:rsid w:val="00960196"/>
    <w:rsid w:val="009615DF"/>
    <w:rsid w:val="00964D2E"/>
    <w:rsid w:val="00966832"/>
    <w:rsid w:val="009710A1"/>
    <w:rsid w:val="00972E45"/>
    <w:rsid w:val="00973827"/>
    <w:rsid w:val="009747B7"/>
    <w:rsid w:val="0097510A"/>
    <w:rsid w:val="00975466"/>
    <w:rsid w:val="00976188"/>
    <w:rsid w:val="009765C1"/>
    <w:rsid w:val="00980B6C"/>
    <w:rsid w:val="00985F73"/>
    <w:rsid w:val="00990A44"/>
    <w:rsid w:val="009A0449"/>
    <w:rsid w:val="009A6144"/>
    <w:rsid w:val="009A657D"/>
    <w:rsid w:val="009A690C"/>
    <w:rsid w:val="009B03A6"/>
    <w:rsid w:val="009B442A"/>
    <w:rsid w:val="009B4E86"/>
    <w:rsid w:val="009B58AD"/>
    <w:rsid w:val="009C03DB"/>
    <w:rsid w:val="009C064E"/>
    <w:rsid w:val="009C293C"/>
    <w:rsid w:val="009C30E4"/>
    <w:rsid w:val="009D1E46"/>
    <w:rsid w:val="009D2DC1"/>
    <w:rsid w:val="009D4A00"/>
    <w:rsid w:val="009E3EE2"/>
    <w:rsid w:val="009E474E"/>
    <w:rsid w:val="009E5644"/>
    <w:rsid w:val="009E69BC"/>
    <w:rsid w:val="009F1D56"/>
    <w:rsid w:val="009F2BC5"/>
    <w:rsid w:val="009F3290"/>
    <w:rsid w:val="009F40D7"/>
    <w:rsid w:val="009F49F2"/>
    <w:rsid w:val="009F51E5"/>
    <w:rsid w:val="00A02B25"/>
    <w:rsid w:val="00A0361C"/>
    <w:rsid w:val="00A04BC6"/>
    <w:rsid w:val="00A06A0C"/>
    <w:rsid w:val="00A06DA1"/>
    <w:rsid w:val="00A07BB1"/>
    <w:rsid w:val="00A106AD"/>
    <w:rsid w:val="00A10DD1"/>
    <w:rsid w:val="00A111B4"/>
    <w:rsid w:val="00A1232D"/>
    <w:rsid w:val="00A12D39"/>
    <w:rsid w:val="00A152E0"/>
    <w:rsid w:val="00A15DBC"/>
    <w:rsid w:val="00A162A8"/>
    <w:rsid w:val="00A164DA"/>
    <w:rsid w:val="00A16E04"/>
    <w:rsid w:val="00A23DAD"/>
    <w:rsid w:val="00A26FAA"/>
    <w:rsid w:val="00A2772E"/>
    <w:rsid w:val="00A27C6B"/>
    <w:rsid w:val="00A30E44"/>
    <w:rsid w:val="00A35E7A"/>
    <w:rsid w:val="00A364D7"/>
    <w:rsid w:val="00A36FFD"/>
    <w:rsid w:val="00A41BCF"/>
    <w:rsid w:val="00A42337"/>
    <w:rsid w:val="00A42921"/>
    <w:rsid w:val="00A5017B"/>
    <w:rsid w:val="00A50B33"/>
    <w:rsid w:val="00A50EB4"/>
    <w:rsid w:val="00A5112C"/>
    <w:rsid w:val="00A521D8"/>
    <w:rsid w:val="00A52266"/>
    <w:rsid w:val="00A53850"/>
    <w:rsid w:val="00A5385B"/>
    <w:rsid w:val="00A550FC"/>
    <w:rsid w:val="00A55B3D"/>
    <w:rsid w:val="00A57436"/>
    <w:rsid w:val="00A63EF8"/>
    <w:rsid w:val="00A64110"/>
    <w:rsid w:val="00A64C14"/>
    <w:rsid w:val="00A70A74"/>
    <w:rsid w:val="00A72C4D"/>
    <w:rsid w:val="00A72C88"/>
    <w:rsid w:val="00A73216"/>
    <w:rsid w:val="00A75FD8"/>
    <w:rsid w:val="00A80094"/>
    <w:rsid w:val="00A849C4"/>
    <w:rsid w:val="00A84BF1"/>
    <w:rsid w:val="00A85B8C"/>
    <w:rsid w:val="00A85E79"/>
    <w:rsid w:val="00A90B3B"/>
    <w:rsid w:val="00A942A3"/>
    <w:rsid w:val="00A96430"/>
    <w:rsid w:val="00AA0097"/>
    <w:rsid w:val="00AA0B5F"/>
    <w:rsid w:val="00AA3D97"/>
    <w:rsid w:val="00AA6014"/>
    <w:rsid w:val="00AA79F1"/>
    <w:rsid w:val="00AB2649"/>
    <w:rsid w:val="00AB3236"/>
    <w:rsid w:val="00AB737E"/>
    <w:rsid w:val="00AC0102"/>
    <w:rsid w:val="00AC0C04"/>
    <w:rsid w:val="00AC2020"/>
    <w:rsid w:val="00AC57D1"/>
    <w:rsid w:val="00AC7C3D"/>
    <w:rsid w:val="00AD0887"/>
    <w:rsid w:val="00AD1104"/>
    <w:rsid w:val="00AD2BAA"/>
    <w:rsid w:val="00AD7C8B"/>
    <w:rsid w:val="00AE02C6"/>
    <w:rsid w:val="00AE04D6"/>
    <w:rsid w:val="00AE64CC"/>
    <w:rsid w:val="00AE6DA0"/>
    <w:rsid w:val="00AE7BDF"/>
    <w:rsid w:val="00AE7F29"/>
    <w:rsid w:val="00AF25BD"/>
    <w:rsid w:val="00AF7346"/>
    <w:rsid w:val="00B003DC"/>
    <w:rsid w:val="00B01772"/>
    <w:rsid w:val="00B01BB4"/>
    <w:rsid w:val="00B04A75"/>
    <w:rsid w:val="00B04FA4"/>
    <w:rsid w:val="00B06971"/>
    <w:rsid w:val="00B06BA8"/>
    <w:rsid w:val="00B07DCF"/>
    <w:rsid w:val="00B12065"/>
    <w:rsid w:val="00B133D9"/>
    <w:rsid w:val="00B14530"/>
    <w:rsid w:val="00B22649"/>
    <w:rsid w:val="00B23C30"/>
    <w:rsid w:val="00B302C7"/>
    <w:rsid w:val="00B30CE0"/>
    <w:rsid w:val="00B36BBA"/>
    <w:rsid w:val="00B436C6"/>
    <w:rsid w:val="00B4502B"/>
    <w:rsid w:val="00B453C9"/>
    <w:rsid w:val="00B45EA6"/>
    <w:rsid w:val="00B4615A"/>
    <w:rsid w:val="00B50128"/>
    <w:rsid w:val="00B50AAA"/>
    <w:rsid w:val="00B50B91"/>
    <w:rsid w:val="00B541B5"/>
    <w:rsid w:val="00B56181"/>
    <w:rsid w:val="00B56856"/>
    <w:rsid w:val="00B568B2"/>
    <w:rsid w:val="00B56FF8"/>
    <w:rsid w:val="00B5778C"/>
    <w:rsid w:val="00B615B1"/>
    <w:rsid w:val="00B61DC8"/>
    <w:rsid w:val="00B66E25"/>
    <w:rsid w:val="00B678E4"/>
    <w:rsid w:val="00B70965"/>
    <w:rsid w:val="00B7167C"/>
    <w:rsid w:val="00B72A5D"/>
    <w:rsid w:val="00B7733E"/>
    <w:rsid w:val="00B7753C"/>
    <w:rsid w:val="00B80348"/>
    <w:rsid w:val="00B83989"/>
    <w:rsid w:val="00B9274F"/>
    <w:rsid w:val="00B9310C"/>
    <w:rsid w:val="00B94E0C"/>
    <w:rsid w:val="00B95104"/>
    <w:rsid w:val="00B9592C"/>
    <w:rsid w:val="00B97AB8"/>
    <w:rsid w:val="00BA2774"/>
    <w:rsid w:val="00BA3432"/>
    <w:rsid w:val="00BA4E9C"/>
    <w:rsid w:val="00BA5E3E"/>
    <w:rsid w:val="00BA790B"/>
    <w:rsid w:val="00BB1B72"/>
    <w:rsid w:val="00BB2022"/>
    <w:rsid w:val="00BB7188"/>
    <w:rsid w:val="00BC0936"/>
    <w:rsid w:val="00BC179A"/>
    <w:rsid w:val="00BC33D7"/>
    <w:rsid w:val="00BC55EF"/>
    <w:rsid w:val="00BC6956"/>
    <w:rsid w:val="00BD41D6"/>
    <w:rsid w:val="00BD59E8"/>
    <w:rsid w:val="00BD68E3"/>
    <w:rsid w:val="00BE04CB"/>
    <w:rsid w:val="00BF0456"/>
    <w:rsid w:val="00BF3C2D"/>
    <w:rsid w:val="00BF5762"/>
    <w:rsid w:val="00BF61A1"/>
    <w:rsid w:val="00BF64AF"/>
    <w:rsid w:val="00C00E00"/>
    <w:rsid w:val="00C039ED"/>
    <w:rsid w:val="00C1137E"/>
    <w:rsid w:val="00C1159A"/>
    <w:rsid w:val="00C1354A"/>
    <w:rsid w:val="00C14EAB"/>
    <w:rsid w:val="00C15F31"/>
    <w:rsid w:val="00C16457"/>
    <w:rsid w:val="00C25F7B"/>
    <w:rsid w:val="00C260D2"/>
    <w:rsid w:val="00C27F55"/>
    <w:rsid w:val="00C31DFA"/>
    <w:rsid w:val="00C31F61"/>
    <w:rsid w:val="00C320B1"/>
    <w:rsid w:val="00C3355C"/>
    <w:rsid w:val="00C36758"/>
    <w:rsid w:val="00C3675B"/>
    <w:rsid w:val="00C36A77"/>
    <w:rsid w:val="00C4136D"/>
    <w:rsid w:val="00C41759"/>
    <w:rsid w:val="00C41875"/>
    <w:rsid w:val="00C4250A"/>
    <w:rsid w:val="00C4268F"/>
    <w:rsid w:val="00C43B25"/>
    <w:rsid w:val="00C448E2"/>
    <w:rsid w:val="00C44921"/>
    <w:rsid w:val="00C44B52"/>
    <w:rsid w:val="00C452C3"/>
    <w:rsid w:val="00C45426"/>
    <w:rsid w:val="00C51DD5"/>
    <w:rsid w:val="00C52FFA"/>
    <w:rsid w:val="00C554B9"/>
    <w:rsid w:val="00C66CC2"/>
    <w:rsid w:val="00C6753F"/>
    <w:rsid w:val="00C67BF4"/>
    <w:rsid w:val="00C70843"/>
    <w:rsid w:val="00C74B7A"/>
    <w:rsid w:val="00C810C1"/>
    <w:rsid w:val="00C8228A"/>
    <w:rsid w:val="00C857C6"/>
    <w:rsid w:val="00C86F3E"/>
    <w:rsid w:val="00C87051"/>
    <w:rsid w:val="00C9000C"/>
    <w:rsid w:val="00C90789"/>
    <w:rsid w:val="00C91710"/>
    <w:rsid w:val="00C97191"/>
    <w:rsid w:val="00CA1748"/>
    <w:rsid w:val="00CA2CCF"/>
    <w:rsid w:val="00CA4C0C"/>
    <w:rsid w:val="00CA51A7"/>
    <w:rsid w:val="00CA65BB"/>
    <w:rsid w:val="00CA7185"/>
    <w:rsid w:val="00CB173E"/>
    <w:rsid w:val="00CB1C49"/>
    <w:rsid w:val="00CB4C56"/>
    <w:rsid w:val="00CB6D49"/>
    <w:rsid w:val="00CC1C37"/>
    <w:rsid w:val="00CC574A"/>
    <w:rsid w:val="00CD1510"/>
    <w:rsid w:val="00CD45FD"/>
    <w:rsid w:val="00CD550E"/>
    <w:rsid w:val="00CD7744"/>
    <w:rsid w:val="00CE0AC1"/>
    <w:rsid w:val="00CE26F9"/>
    <w:rsid w:val="00CE33E4"/>
    <w:rsid w:val="00CE5F5F"/>
    <w:rsid w:val="00CE7ECA"/>
    <w:rsid w:val="00CF0EDD"/>
    <w:rsid w:val="00CF12CF"/>
    <w:rsid w:val="00CF1D86"/>
    <w:rsid w:val="00CF4B95"/>
    <w:rsid w:val="00CF518B"/>
    <w:rsid w:val="00CF65CC"/>
    <w:rsid w:val="00CF72DB"/>
    <w:rsid w:val="00D00146"/>
    <w:rsid w:val="00D00927"/>
    <w:rsid w:val="00D04D58"/>
    <w:rsid w:val="00D068B0"/>
    <w:rsid w:val="00D06F0D"/>
    <w:rsid w:val="00D07A27"/>
    <w:rsid w:val="00D17617"/>
    <w:rsid w:val="00D21915"/>
    <w:rsid w:val="00D25A75"/>
    <w:rsid w:val="00D263B4"/>
    <w:rsid w:val="00D26F1B"/>
    <w:rsid w:val="00D32622"/>
    <w:rsid w:val="00D332FC"/>
    <w:rsid w:val="00D33C87"/>
    <w:rsid w:val="00D37E01"/>
    <w:rsid w:val="00D40348"/>
    <w:rsid w:val="00D420EB"/>
    <w:rsid w:val="00D434BD"/>
    <w:rsid w:val="00D445A8"/>
    <w:rsid w:val="00D455D1"/>
    <w:rsid w:val="00D46A60"/>
    <w:rsid w:val="00D46DAF"/>
    <w:rsid w:val="00D47728"/>
    <w:rsid w:val="00D52705"/>
    <w:rsid w:val="00D5510D"/>
    <w:rsid w:val="00D5579C"/>
    <w:rsid w:val="00D56FFA"/>
    <w:rsid w:val="00D578B8"/>
    <w:rsid w:val="00D57AB1"/>
    <w:rsid w:val="00D64F8D"/>
    <w:rsid w:val="00D67270"/>
    <w:rsid w:val="00D67334"/>
    <w:rsid w:val="00D6748D"/>
    <w:rsid w:val="00D67E82"/>
    <w:rsid w:val="00D70AFC"/>
    <w:rsid w:val="00D719BF"/>
    <w:rsid w:val="00D7686F"/>
    <w:rsid w:val="00D76D4D"/>
    <w:rsid w:val="00D77E2B"/>
    <w:rsid w:val="00D8008F"/>
    <w:rsid w:val="00D8164B"/>
    <w:rsid w:val="00D85221"/>
    <w:rsid w:val="00D85232"/>
    <w:rsid w:val="00D85EAF"/>
    <w:rsid w:val="00D87937"/>
    <w:rsid w:val="00D90501"/>
    <w:rsid w:val="00D931E9"/>
    <w:rsid w:val="00D9450E"/>
    <w:rsid w:val="00D97763"/>
    <w:rsid w:val="00DA0244"/>
    <w:rsid w:val="00DA0647"/>
    <w:rsid w:val="00DA278C"/>
    <w:rsid w:val="00DA2D96"/>
    <w:rsid w:val="00DA2F62"/>
    <w:rsid w:val="00DA57EA"/>
    <w:rsid w:val="00DB19FC"/>
    <w:rsid w:val="00DC07D9"/>
    <w:rsid w:val="00DC0FFD"/>
    <w:rsid w:val="00DC1C31"/>
    <w:rsid w:val="00DC21B1"/>
    <w:rsid w:val="00DC2288"/>
    <w:rsid w:val="00DC3D5B"/>
    <w:rsid w:val="00DC3F80"/>
    <w:rsid w:val="00DC4459"/>
    <w:rsid w:val="00DC6C26"/>
    <w:rsid w:val="00DD1CA9"/>
    <w:rsid w:val="00DD50DA"/>
    <w:rsid w:val="00DD5A73"/>
    <w:rsid w:val="00DD6A8A"/>
    <w:rsid w:val="00DD6C2C"/>
    <w:rsid w:val="00DE0283"/>
    <w:rsid w:val="00DE4494"/>
    <w:rsid w:val="00DE4F99"/>
    <w:rsid w:val="00DE56FC"/>
    <w:rsid w:val="00DF0292"/>
    <w:rsid w:val="00DF08A1"/>
    <w:rsid w:val="00DF2193"/>
    <w:rsid w:val="00DF2A16"/>
    <w:rsid w:val="00DF3990"/>
    <w:rsid w:val="00E0100E"/>
    <w:rsid w:val="00E044A5"/>
    <w:rsid w:val="00E04A4B"/>
    <w:rsid w:val="00E077FE"/>
    <w:rsid w:val="00E10D37"/>
    <w:rsid w:val="00E16668"/>
    <w:rsid w:val="00E20981"/>
    <w:rsid w:val="00E21597"/>
    <w:rsid w:val="00E21C29"/>
    <w:rsid w:val="00E22F17"/>
    <w:rsid w:val="00E26416"/>
    <w:rsid w:val="00E329A5"/>
    <w:rsid w:val="00E377FA"/>
    <w:rsid w:val="00E40339"/>
    <w:rsid w:val="00E41052"/>
    <w:rsid w:val="00E42B55"/>
    <w:rsid w:val="00E43279"/>
    <w:rsid w:val="00E46BE9"/>
    <w:rsid w:val="00E47CE7"/>
    <w:rsid w:val="00E501EC"/>
    <w:rsid w:val="00E52801"/>
    <w:rsid w:val="00E53B4D"/>
    <w:rsid w:val="00E545D9"/>
    <w:rsid w:val="00E54EE2"/>
    <w:rsid w:val="00E556C3"/>
    <w:rsid w:val="00E561F4"/>
    <w:rsid w:val="00E57267"/>
    <w:rsid w:val="00E61030"/>
    <w:rsid w:val="00E61D9B"/>
    <w:rsid w:val="00E61FAE"/>
    <w:rsid w:val="00E70390"/>
    <w:rsid w:val="00E70861"/>
    <w:rsid w:val="00E70E76"/>
    <w:rsid w:val="00E73730"/>
    <w:rsid w:val="00E8136A"/>
    <w:rsid w:val="00E816C2"/>
    <w:rsid w:val="00E826FE"/>
    <w:rsid w:val="00E830E1"/>
    <w:rsid w:val="00E835C9"/>
    <w:rsid w:val="00E8589F"/>
    <w:rsid w:val="00E85A1B"/>
    <w:rsid w:val="00E861CB"/>
    <w:rsid w:val="00E87751"/>
    <w:rsid w:val="00E90FF2"/>
    <w:rsid w:val="00E91EB6"/>
    <w:rsid w:val="00E94B79"/>
    <w:rsid w:val="00E95674"/>
    <w:rsid w:val="00E959AC"/>
    <w:rsid w:val="00E96957"/>
    <w:rsid w:val="00E96CEC"/>
    <w:rsid w:val="00E97429"/>
    <w:rsid w:val="00EA0406"/>
    <w:rsid w:val="00EA1CDC"/>
    <w:rsid w:val="00EA2F5E"/>
    <w:rsid w:val="00EA379C"/>
    <w:rsid w:val="00EA3CE7"/>
    <w:rsid w:val="00EA46EC"/>
    <w:rsid w:val="00EA680F"/>
    <w:rsid w:val="00EB2569"/>
    <w:rsid w:val="00EB29EE"/>
    <w:rsid w:val="00EB44C2"/>
    <w:rsid w:val="00EB7BA5"/>
    <w:rsid w:val="00EC0F8A"/>
    <w:rsid w:val="00EC2459"/>
    <w:rsid w:val="00EC2BA9"/>
    <w:rsid w:val="00EC60C5"/>
    <w:rsid w:val="00EC65A6"/>
    <w:rsid w:val="00EC7E55"/>
    <w:rsid w:val="00ED5A4E"/>
    <w:rsid w:val="00ED79CF"/>
    <w:rsid w:val="00EE4F3E"/>
    <w:rsid w:val="00EF1CED"/>
    <w:rsid w:val="00EF5968"/>
    <w:rsid w:val="00F014F0"/>
    <w:rsid w:val="00F0181B"/>
    <w:rsid w:val="00F0310C"/>
    <w:rsid w:val="00F033ED"/>
    <w:rsid w:val="00F10AB1"/>
    <w:rsid w:val="00F10F06"/>
    <w:rsid w:val="00F122DA"/>
    <w:rsid w:val="00F15658"/>
    <w:rsid w:val="00F2002A"/>
    <w:rsid w:val="00F206E9"/>
    <w:rsid w:val="00F2081C"/>
    <w:rsid w:val="00F20955"/>
    <w:rsid w:val="00F2254D"/>
    <w:rsid w:val="00F22D67"/>
    <w:rsid w:val="00F24BC9"/>
    <w:rsid w:val="00F26B88"/>
    <w:rsid w:val="00F27979"/>
    <w:rsid w:val="00F3065B"/>
    <w:rsid w:val="00F30994"/>
    <w:rsid w:val="00F32525"/>
    <w:rsid w:val="00F33218"/>
    <w:rsid w:val="00F338F8"/>
    <w:rsid w:val="00F35E0A"/>
    <w:rsid w:val="00F35F64"/>
    <w:rsid w:val="00F36218"/>
    <w:rsid w:val="00F37F79"/>
    <w:rsid w:val="00F45B1F"/>
    <w:rsid w:val="00F4655F"/>
    <w:rsid w:val="00F469CD"/>
    <w:rsid w:val="00F4772A"/>
    <w:rsid w:val="00F50F75"/>
    <w:rsid w:val="00F512C9"/>
    <w:rsid w:val="00F5167A"/>
    <w:rsid w:val="00F52536"/>
    <w:rsid w:val="00F52ABF"/>
    <w:rsid w:val="00F52DB4"/>
    <w:rsid w:val="00F559AF"/>
    <w:rsid w:val="00F55F8B"/>
    <w:rsid w:val="00F567D8"/>
    <w:rsid w:val="00F612FA"/>
    <w:rsid w:val="00F6135A"/>
    <w:rsid w:val="00F6237A"/>
    <w:rsid w:val="00F6703B"/>
    <w:rsid w:val="00F70D83"/>
    <w:rsid w:val="00F816E8"/>
    <w:rsid w:val="00F8389A"/>
    <w:rsid w:val="00F83F29"/>
    <w:rsid w:val="00F84A0E"/>
    <w:rsid w:val="00F87326"/>
    <w:rsid w:val="00F9164F"/>
    <w:rsid w:val="00F916E7"/>
    <w:rsid w:val="00F94C2D"/>
    <w:rsid w:val="00F94E57"/>
    <w:rsid w:val="00F952DF"/>
    <w:rsid w:val="00F9575C"/>
    <w:rsid w:val="00F95D1F"/>
    <w:rsid w:val="00FA0867"/>
    <w:rsid w:val="00FA1AE5"/>
    <w:rsid w:val="00FA1DD7"/>
    <w:rsid w:val="00FA44E5"/>
    <w:rsid w:val="00FA4C4B"/>
    <w:rsid w:val="00FA6548"/>
    <w:rsid w:val="00FA74D8"/>
    <w:rsid w:val="00FA7BD4"/>
    <w:rsid w:val="00FB0828"/>
    <w:rsid w:val="00FC07E1"/>
    <w:rsid w:val="00FC19EB"/>
    <w:rsid w:val="00FC340C"/>
    <w:rsid w:val="00FC5030"/>
    <w:rsid w:val="00FC521A"/>
    <w:rsid w:val="00FD27C4"/>
    <w:rsid w:val="00FD4B2F"/>
    <w:rsid w:val="00FD5226"/>
    <w:rsid w:val="00FE3D33"/>
    <w:rsid w:val="00FE407D"/>
    <w:rsid w:val="00FE6A7E"/>
    <w:rsid w:val="00FE7F2E"/>
    <w:rsid w:val="00FF0F1A"/>
    <w:rsid w:val="00FF1A02"/>
    <w:rsid w:val="00FF378D"/>
    <w:rsid w:val="00FF38F1"/>
    <w:rsid w:val="00FF4681"/>
    <w:rsid w:val="00FF5B0E"/>
    <w:rsid w:val="00FF6061"/>
    <w:rsid w:val="00FF6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8DA"/>
    <w:rPr>
      <w:snapToGrid w:val="0"/>
      <w:sz w:val="24"/>
      <w:lang w:val="en-GB"/>
    </w:rPr>
  </w:style>
  <w:style w:type="paragraph" w:styleId="Heading1">
    <w:name w:val="heading 1"/>
    <w:basedOn w:val="Normal"/>
    <w:next w:val="Normal"/>
    <w:link w:val="Heading1Char"/>
    <w:qFormat/>
    <w:rsid w:val="0009636C"/>
    <w:pPr>
      <w:keepNext/>
      <w:jc w:val="both"/>
      <w:outlineLvl w:val="0"/>
    </w:pPr>
    <w:rPr>
      <w:b/>
      <w:bCs/>
      <w:snapToGrid/>
      <w:szCs w:val="24"/>
      <w:lang w:val="sr-Cyrl-CS"/>
    </w:rPr>
  </w:style>
  <w:style w:type="paragraph" w:styleId="Heading2">
    <w:name w:val="heading 2"/>
    <w:basedOn w:val="Normal"/>
    <w:next w:val="Normal"/>
    <w:link w:val="Heading2Char"/>
    <w:semiHidden/>
    <w:unhideWhenUsed/>
    <w:qFormat/>
    <w:rsid w:val="00F014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57B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95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2C3A8C"/>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A27C6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36C"/>
    <w:rPr>
      <w:b/>
      <w:bCs/>
      <w:sz w:val="24"/>
      <w:szCs w:val="24"/>
      <w:lang w:val="sr-Cyrl-CS"/>
    </w:rPr>
  </w:style>
  <w:style w:type="character" w:customStyle="1" w:styleId="Heading2Char">
    <w:name w:val="Heading 2 Char"/>
    <w:basedOn w:val="DefaultParagraphFont"/>
    <w:link w:val="Heading2"/>
    <w:semiHidden/>
    <w:rsid w:val="00F014F0"/>
    <w:rPr>
      <w:rFonts w:ascii="Cambria" w:eastAsia="Times New Roman" w:hAnsi="Cambria" w:cs="Times New Roman"/>
      <w:b/>
      <w:bCs/>
      <w:i/>
      <w:iCs/>
      <w:snapToGrid w:val="0"/>
      <w:sz w:val="28"/>
      <w:szCs w:val="28"/>
      <w:lang w:val="en-GB"/>
    </w:rPr>
  </w:style>
  <w:style w:type="character" w:customStyle="1" w:styleId="Heading4Char">
    <w:name w:val="Heading 4 Char"/>
    <w:basedOn w:val="DefaultParagraphFont"/>
    <w:link w:val="Heading4"/>
    <w:uiPriority w:val="9"/>
    <w:rsid w:val="003B4951"/>
    <w:rPr>
      <w:rFonts w:ascii="Calibri" w:eastAsia="Times New Roman" w:hAnsi="Calibri" w:cs="Times New Roman"/>
      <w:b/>
      <w:bCs/>
      <w:snapToGrid w:val="0"/>
      <w:sz w:val="28"/>
      <w:szCs w:val="28"/>
      <w:lang w:val="en-GB"/>
    </w:rPr>
  </w:style>
  <w:style w:type="character" w:customStyle="1" w:styleId="Heading6Char">
    <w:name w:val="Heading 6 Char"/>
    <w:basedOn w:val="DefaultParagraphFont"/>
    <w:link w:val="Heading6"/>
    <w:uiPriority w:val="9"/>
    <w:rsid w:val="002C3A8C"/>
    <w:rPr>
      <w:rFonts w:ascii="Calibri" w:eastAsia="Times New Roman" w:hAnsi="Calibri" w:cs="Times New Roman"/>
      <w:b/>
      <w:bCs/>
      <w:snapToGrid w:val="0"/>
      <w:sz w:val="22"/>
      <w:szCs w:val="22"/>
      <w:lang w:val="en-GB"/>
    </w:rPr>
  </w:style>
  <w:style w:type="character" w:customStyle="1" w:styleId="Heading9Char">
    <w:name w:val="Heading 9 Char"/>
    <w:basedOn w:val="DefaultParagraphFont"/>
    <w:link w:val="Heading9"/>
    <w:semiHidden/>
    <w:rsid w:val="00A27C6B"/>
    <w:rPr>
      <w:rFonts w:ascii="Cambria" w:eastAsia="Times New Roman" w:hAnsi="Cambria" w:cs="Times New Roman"/>
      <w:snapToGrid w:val="0"/>
      <w:sz w:val="22"/>
      <w:szCs w:val="22"/>
      <w:lang w:val="en-GB"/>
    </w:rPr>
  </w:style>
  <w:style w:type="paragraph" w:styleId="NormalWeb">
    <w:name w:val="Normal (Web)"/>
    <w:basedOn w:val="Normal"/>
    <w:uiPriority w:val="99"/>
    <w:unhideWhenUsed/>
    <w:rsid w:val="00845FC4"/>
    <w:pPr>
      <w:spacing w:before="100" w:beforeAutospacing="1" w:after="100" w:afterAutospacing="1"/>
    </w:pPr>
    <w:rPr>
      <w:snapToGrid/>
      <w:szCs w:val="24"/>
      <w:lang w:val="en-US"/>
    </w:rPr>
  </w:style>
  <w:style w:type="character" w:styleId="Hyperlink">
    <w:name w:val="Hyperlink"/>
    <w:basedOn w:val="DefaultParagraphFont"/>
    <w:uiPriority w:val="99"/>
    <w:unhideWhenUsed/>
    <w:rsid w:val="00845FC4"/>
    <w:rPr>
      <w:color w:val="0000FF"/>
      <w:u w:val="single"/>
    </w:rPr>
  </w:style>
  <w:style w:type="paragraph" w:styleId="Title">
    <w:name w:val="Title"/>
    <w:basedOn w:val="Normal"/>
    <w:link w:val="TitleChar"/>
    <w:qFormat/>
    <w:rsid w:val="0009636C"/>
    <w:pPr>
      <w:jc w:val="center"/>
    </w:pPr>
    <w:rPr>
      <w:b/>
      <w:bCs/>
      <w:snapToGrid/>
      <w:szCs w:val="24"/>
      <w:lang w:val="sr-Cyrl-CS"/>
    </w:rPr>
  </w:style>
  <w:style w:type="character" w:customStyle="1" w:styleId="TitleChar">
    <w:name w:val="Title Char"/>
    <w:basedOn w:val="DefaultParagraphFont"/>
    <w:link w:val="Title"/>
    <w:rsid w:val="0009636C"/>
    <w:rPr>
      <w:b/>
      <w:bCs/>
      <w:sz w:val="24"/>
      <w:szCs w:val="24"/>
      <w:lang w:val="sr-Cyrl-CS"/>
    </w:rPr>
  </w:style>
  <w:style w:type="table" w:styleId="TableGrid">
    <w:name w:val="Table Grid"/>
    <w:basedOn w:val="TableNormal"/>
    <w:rsid w:val="000963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lan">
    <w:name w:val="clan"/>
    <w:basedOn w:val="Normal"/>
    <w:rsid w:val="003B4951"/>
    <w:pPr>
      <w:spacing w:before="240" w:after="120"/>
      <w:jc w:val="center"/>
    </w:pPr>
    <w:rPr>
      <w:rFonts w:ascii="Arial" w:hAnsi="Arial" w:cs="Arial"/>
      <w:b/>
      <w:bCs/>
      <w:snapToGrid/>
      <w:szCs w:val="24"/>
      <w:lang w:val="en-US"/>
    </w:rPr>
  </w:style>
  <w:style w:type="paragraph" w:customStyle="1" w:styleId="normal0">
    <w:name w:val="normal"/>
    <w:basedOn w:val="Normal"/>
    <w:rsid w:val="003B4951"/>
    <w:pPr>
      <w:spacing w:before="100" w:beforeAutospacing="1" w:after="100" w:afterAutospacing="1"/>
    </w:pPr>
    <w:rPr>
      <w:rFonts w:ascii="Arial" w:hAnsi="Arial" w:cs="Arial"/>
      <w:snapToGrid/>
      <w:sz w:val="22"/>
      <w:szCs w:val="22"/>
      <w:lang w:val="en-US"/>
    </w:rPr>
  </w:style>
  <w:style w:type="paragraph" w:customStyle="1" w:styleId="podnaslovpropisa">
    <w:name w:val="podnaslovpropisa"/>
    <w:basedOn w:val="Normal"/>
    <w:rsid w:val="003B4951"/>
    <w:pPr>
      <w:shd w:val="clear" w:color="auto" w:fill="000000"/>
      <w:spacing w:before="100" w:beforeAutospacing="1" w:after="100" w:afterAutospacing="1"/>
      <w:jc w:val="center"/>
    </w:pPr>
    <w:rPr>
      <w:rFonts w:ascii="Arial" w:hAnsi="Arial" w:cs="Arial"/>
      <w:i/>
      <w:iCs/>
      <w:snapToGrid/>
      <w:color w:val="FFE8BF"/>
      <w:sz w:val="26"/>
      <w:szCs w:val="26"/>
      <w:lang w:val="en-US"/>
    </w:rPr>
  </w:style>
  <w:style w:type="paragraph" w:customStyle="1" w:styleId="normalprored">
    <w:name w:val="normalprored"/>
    <w:basedOn w:val="Normal"/>
    <w:rsid w:val="003B4951"/>
    <w:rPr>
      <w:rFonts w:ascii="Arial" w:hAnsi="Arial" w:cs="Arial"/>
      <w:snapToGrid/>
      <w:sz w:val="26"/>
      <w:szCs w:val="26"/>
      <w:lang w:val="en-US"/>
    </w:rPr>
  </w:style>
  <w:style w:type="paragraph" w:customStyle="1" w:styleId="wyq060---pododeljak">
    <w:name w:val="wyq060---pododeljak"/>
    <w:basedOn w:val="Normal"/>
    <w:rsid w:val="003B4951"/>
    <w:pPr>
      <w:jc w:val="center"/>
    </w:pPr>
    <w:rPr>
      <w:rFonts w:ascii="Arial" w:hAnsi="Arial" w:cs="Arial"/>
      <w:snapToGrid/>
      <w:sz w:val="31"/>
      <w:szCs w:val="31"/>
      <w:lang w:val="en-US"/>
    </w:rPr>
  </w:style>
  <w:style w:type="paragraph" w:customStyle="1" w:styleId="wyq100---naslov-grupe-clanova-kurziv">
    <w:name w:val="wyq100---naslov-grupe-clanova-kurziv"/>
    <w:basedOn w:val="Normal"/>
    <w:rsid w:val="003B4951"/>
    <w:pPr>
      <w:spacing w:before="240" w:after="240"/>
      <w:jc w:val="center"/>
    </w:pPr>
    <w:rPr>
      <w:rFonts w:ascii="Arial" w:hAnsi="Arial" w:cs="Arial"/>
      <w:b/>
      <w:bCs/>
      <w:i/>
      <w:iCs/>
      <w:snapToGrid/>
      <w:szCs w:val="24"/>
      <w:lang w:val="en-US"/>
    </w:rPr>
  </w:style>
  <w:style w:type="paragraph" w:customStyle="1" w:styleId="wyq110---naslov-clana">
    <w:name w:val="wyq110---naslov-clana"/>
    <w:basedOn w:val="Normal"/>
    <w:rsid w:val="003B4951"/>
    <w:pPr>
      <w:spacing w:before="240" w:after="240"/>
      <w:jc w:val="center"/>
    </w:pPr>
    <w:rPr>
      <w:rFonts w:ascii="Arial" w:hAnsi="Arial" w:cs="Arial"/>
      <w:b/>
      <w:bCs/>
      <w:snapToGrid/>
      <w:szCs w:val="24"/>
      <w:lang w:val="en-US"/>
    </w:rPr>
  </w:style>
  <w:style w:type="paragraph" w:customStyle="1" w:styleId="wyq120---podnaslov-clana">
    <w:name w:val="wyq120---podnaslov-clana"/>
    <w:basedOn w:val="Normal"/>
    <w:rsid w:val="003B4951"/>
    <w:pPr>
      <w:spacing w:before="240" w:after="240"/>
      <w:jc w:val="center"/>
    </w:pPr>
    <w:rPr>
      <w:rFonts w:ascii="Arial" w:hAnsi="Arial" w:cs="Arial"/>
      <w:i/>
      <w:iCs/>
      <w:snapToGrid/>
      <w:szCs w:val="24"/>
      <w:lang w:val="en-US"/>
    </w:rPr>
  </w:style>
  <w:style w:type="paragraph" w:styleId="Header">
    <w:name w:val="header"/>
    <w:basedOn w:val="Normal"/>
    <w:link w:val="HeaderChar"/>
    <w:uiPriority w:val="99"/>
    <w:rsid w:val="003B4951"/>
    <w:pPr>
      <w:tabs>
        <w:tab w:val="center" w:pos="4680"/>
        <w:tab w:val="right" w:pos="9360"/>
      </w:tabs>
    </w:pPr>
  </w:style>
  <w:style w:type="character" w:customStyle="1" w:styleId="HeaderChar">
    <w:name w:val="Header Char"/>
    <w:basedOn w:val="DefaultParagraphFont"/>
    <w:link w:val="Header"/>
    <w:uiPriority w:val="99"/>
    <w:rsid w:val="003B4951"/>
    <w:rPr>
      <w:snapToGrid w:val="0"/>
      <w:sz w:val="24"/>
      <w:lang w:val="en-GB"/>
    </w:rPr>
  </w:style>
  <w:style w:type="paragraph" w:styleId="Footer">
    <w:name w:val="footer"/>
    <w:basedOn w:val="Normal"/>
    <w:link w:val="FooterChar"/>
    <w:uiPriority w:val="99"/>
    <w:rsid w:val="003B4951"/>
    <w:pPr>
      <w:tabs>
        <w:tab w:val="center" w:pos="4680"/>
        <w:tab w:val="right" w:pos="9360"/>
      </w:tabs>
    </w:pPr>
  </w:style>
  <w:style w:type="character" w:customStyle="1" w:styleId="FooterChar">
    <w:name w:val="Footer Char"/>
    <w:basedOn w:val="DefaultParagraphFont"/>
    <w:link w:val="Footer"/>
    <w:uiPriority w:val="99"/>
    <w:rsid w:val="003B4951"/>
    <w:rPr>
      <w:snapToGrid w:val="0"/>
      <w:sz w:val="24"/>
      <w:lang w:val="en-GB"/>
    </w:rPr>
  </w:style>
  <w:style w:type="paragraph" w:styleId="BodyText">
    <w:name w:val="Body Text"/>
    <w:basedOn w:val="Normal"/>
    <w:link w:val="BodyTextChar"/>
    <w:unhideWhenUsed/>
    <w:rsid w:val="005D2766"/>
    <w:pPr>
      <w:jc w:val="both"/>
    </w:pPr>
    <w:rPr>
      <w:noProof/>
      <w:snapToGrid/>
      <w:szCs w:val="24"/>
      <w:lang w:val="sr-Cyrl-CS"/>
    </w:rPr>
  </w:style>
  <w:style w:type="character" w:customStyle="1" w:styleId="BodyTextChar">
    <w:name w:val="Body Text Char"/>
    <w:basedOn w:val="DefaultParagraphFont"/>
    <w:link w:val="BodyText"/>
    <w:rsid w:val="005D2766"/>
    <w:rPr>
      <w:noProof/>
      <w:sz w:val="24"/>
      <w:szCs w:val="24"/>
      <w:lang w:val="sr-Cyrl-CS"/>
    </w:rPr>
  </w:style>
  <w:style w:type="paragraph" w:styleId="BodyTextIndent">
    <w:name w:val="Body Text Indent"/>
    <w:basedOn w:val="Normal"/>
    <w:link w:val="BodyTextIndentChar"/>
    <w:unhideWhenUsed/>
    <w:rsid w:val="005D2766"/>
    <w:pPr>
      <w:ind w:firstLine="720"/>
      <w:jc w:val="both"/>
    </w:pPr>
    <w:rPr>
      <w:snapToGrid/>
      <w:szCs w:val="24"/>
    </w:rPr>
  </w:style>
  <w:style w:type="character" w:customStyle="1" w:styleId="BodyTextIndentChar">
    <w:name w:val="Body Text Indent Char"/>
    <w:basedOn w:val="DefaultParagraphFont"/>
    <w:link w:val="BodyTextIndent"/>
    <w:rsid w:val="005D2766"/>
    <w:rPr>
      <w:sz w:val="24"/>
      <w:szCs w:val="24"/>
      <w:lang w:val="en-GB"/>
    </w:rPr>
  </w:style>
  <w:style w:type="character" w:customStyle="1" w:styleId="shorttext">
    <w:name w:val="short_text"/>
    <w:basedOn w:val="DefaultParagraphFont"/>
    <w:rsid w:val="00A35E7A"/>
  </w:style>
  <w:style w:type="character" w:customStyle="1" w:styleId="hps">
    <w:name w:val="hps"/>
    <w:basedOn w:val="DefaultParagraphFont"/>
    <w:rsid w:val="00A35E7A"/>
  </w:style>
  <w:style w:type="paragraph" w:customStyle="1" w:styleId="normaltd">
    <w:name w:val="normaltd"/>
    <w:basedOn w:val="Normal"/>
    <w:rsid w:val="00CF4B95"/>
    <w:pPr>
      <w:spacing w:before="100" w:beforeAutospacing="1" w:after="100" w:afterAutospacing="1"/>
      <w:jc w:val="right"/>
    </w:pPr>
    <w:rPr>
      <w:rFonts w:ascii="Arial" w:hAnsi="Arial" w:cs="Arial"/>
      <w:snapToGrid/>
      <w:sz w:val="22"/>
      <w:szCs w:val="22"/>
      <w:lang w:val="en-US"/>
    </w:rPr>
  </w:style>
  <w:style w:type="paragraph" w:customStyle="1" w:styleId="samostalni">
    <w:name w:val="samostalni"/>
    <w:basedOn w:val="Normal"/>
    <w:rsid w:val="00497AA9"/>
    <w:pPr>
      <w:spacing w:before="100" w:beforeAutospacing="1" w:after="100" w:afterAutospacing="1"/>
      <w:jc w:val="center"/>
    </w:pPr>
    <w:rPr>
      <w:rFonts w:ascii="Arial" w:hAnsi="Arial" w:cs="Arial"/>
      <w:b/>
      <w:bCs/>
      <w:i/>
      <w:iCs/>
      <w:snapToGrid/>
      <w:szCs w:val="24"/>
      <w:lang w:val="en-US"/>
    </w:rPr>
  </w:style>
  <w:style w:type="paragraph" w:customStyle="1" w:styleId="samostalni1">
    <w:name w:val="samostalni1"/>
    <w:basedOn w:val="Normal"/>
    <w:rsid w:val="00497AA9"/>
    <w:pPr>
      <w:spacing w:before="100" w:beforeAutospacing="1" w:after="100" w:afterAutospacing="1"/>
      <w:jc w:val="center"/>
    </w:pPr>
    <w:rPr>
      <w:rFonts w:ascii="Arial" w:hAnsi="Arial" w:cs="Arial"/>
      <w:i/>
      <w:iCs/>
      <w:snapToGrid/>
      <w:sz w:val="22"/>
      <w:szCs w:val="22"/>
      <w:lang w:val="en-US"/>
    </w:rPr>
  </w:style>
  <w:style w:type="paragraph" w:customStyle="1" w:styleId="naslovpropisa1a">
    <w:name w:val="naslovpropisa1a"/>
    <w:basedOn w:val="Normal"/>
    <w:rsid w:val="00497AA9"/>
    <w:pPr>
      <w:spacing w:before="100" w:beforeAutospacing="1" w:after="100" w:afterAutospacing="1"/>
      <w:ind w:right="608"/>
      <w:jc w:val="center"/>
    </w:pPr>
    <w:rPr>
      <w:rFonts w:ascii="Arial" w:hAnsi="Arial" w:cs="Arial"/>
      <w:b/>
      <w:bCs/>
      <w:snapToGrid/>
      <w:color w:val="FFFFFF"/>
      <w:sz w:val="34"/>
      <w:szCs w:val="34"/>
      <w:lang w:val="en-US"/>
    </w:rPr>
  </w:style>
  <w:style w:type="paragraph" w:styleId="ListParagraph">
    <w:name w:val="List Paragraph"/>
    <w:basedOn w:val="Normal"/>
    <w:qFormat/>
    <w:rsid w:val="005634C9"/>
    <w:pPr>
      <w:spacing w:after="200" w:line="276" w:lineRule="auto"/>
      <w:ind w:left="720"/>
      <w:contextualSpacing/>
    </w:pPr>
    <w:rPr>
      <w:rFonts w:eastAsia="Calibri"/>
      <w:snapToGrid/>
      <w:sz w:val="22"/>
      <w:szCs w:val="22"/>
      <w:lang w:val="sr-Latn-CS"/>
    </w:rPr>
  </w:style>
  <w:style w:type="paragraph" w:styleId="TOC3">
    <w:name w:val="toc 3"/>
    <w:basedOn w:val="Normal"/>
    <w:next w:val="Normal"/>
    <w:autoRedefine/>
    <w:uiPriority w:val="39"/>
    <w:unhideWhenUsed/>
    <w:rsid w:val="005634C9"/>
    <w:pPr>
      <w:tabs>
        <w:tab w:val="left" w:pos="720"/>
        <w:tab w:val="left" w:pos="900"/>
        <w:tab w:val="right" w:leader="dot" w:pos="9062"/>
      </w:tabs>
      <w:spacing w:line="360" w:lineRule="auto"/>
    </w:pPr>
    <w:rPr>
      <w:b/>
      <w:noProof/>
      <w:snapToGrid/>
      <w:szCs w:val="24"/>
      <w:lang w:val="sr-Cyrl-CS"/>
    </w:rPr>
  </w:style>
  <w:style w:type="paragraph" w:customStyle="1" w:styleId="wyq030---glava">
    <w:name w:val="wyq030---glava"/>
    <w:basedOn w:val="Normal"/>
    <w:rsid w:val="000578CB"/>
    <w:pPr>
      <w:jc w:val="center"/>
    </w:pPr>
    <w:rPr>
      <w:rFonts w:ascii="Arial" w:hAnsi="Arial" w:cs="Arial"/>
      <w:b/>
      <w:bCs/>
      <w:snapToGrid/>
      <w:sz w:val="34"/>
      <w:szCs w:val="34"/>
      <w:lang w:val="en-US"/>
    </w:rPr>
  </w:style>
  <w:style w:type="character" w:customStyle="1" w:styleId="il">
    <w:name w:val="il"/>
    <w:basedOn w:val="DefaultParagraphFont"/>
    <w:rsid w:val="007C23C9"/>
  </w:style>
  <w:style w:type="character" w:styleId="Strong">
    <w:name w:val="Strong"/>
    <w:basedOn w:val="DefaultParagraphFont"/>
    <w:uiPriority w:val="22"/>
    <w:qFormat/>
    <w:rsid w:val="00323916"/>
    <w:rPr>
      <w:b/>
      <w:bCs/>
    </w:rPr>
  </w:style>
  <w:style w:type="paragraph" w:styleId="NoSpacing">
    <w:name w:val="No Spacing"/>
    <w:uiPriority w:val="1"/>
    <w:qFormat/>
    <w:rsid w:val="002F5299"/>
    <w:rPr>
      <w:rFonts w:ascii="Calibri" w:hAnsi="Calibri"/>
      <w:sz w:val="22"/>
      <w:szCs w:val="22"/>
      <w:lang w:bidi="en-US"/>
    </w:rPr>
  </w:style>
  <w:style w:type="character" w:customStyle="1" w:styleId="jslink">
    <w:name w:val="js_link"/>
    <w:basedOn w:val="DefaultParagraphFont"/>
    <w:rsid w:val="00F014F0"/>
  </w:style>
  <w:style w:type="character" w:customStyle="1" w:styleId="ingredientqty">
    <w:name w:val="ingredient_qty"/>
    <w:basedOn w:val="DefaultParagraphFont"/>
    <w:rsid w:val="00F014F0"/>
  </w:style>
  <w:style w:type="character" w:customStyle="1" w:styleId="ingredienttitle">
    <w:name w:val="ingredient_title"/>
    <w:basedOn w:val="DefaultParagraphFont"/>
    <w:rsid w:val="00F014F0"/>
  </w:style>
  <w:style w:type="character" w:customStyle="1" w:styleId="icon">
    <w:name w:val="icon"/>
    <w:basedOn w:val="DefaultParagraphFont"/>
    <w:rsid w:val="00F014F0"/>
  </w:style>
  <w:style w:type="character" w:customStyle="1" w:styleId="clrdef">
    <w:name w:val="clr_def"/>
    <w:basedOn w:val="DefaultParagraphFont"/>
    <w:rsid w:val="00F014F0"/>
  </w:style>
  <w:style w:type="character" w:customStyle="1" w:styleId="stepnr">
    <w:name w:val="step_nr"/>
    <w:basedOn w:val="DefaultParagraphFont"/>
    <w:rsid w:val="00F014F0"/>
  </w:style>
  <w:style w:type="paragraph" w:customStyle="1" w:styleId="simboliindeks">
    <w:name w:val="simboliindeks"/>
    <w:basedOn w:val="Normal"/>
    <w:rsid w:val="002A6CB0"/>
    <w:pPr>
      <w:spacing w:before="100" w:beforeAutospacing="1" w:after="100" w:afterAutospacing="1"/>
    </w:pPr>
    <w:rPr>
      <w:rFonts w:ascii="Symbol" w:hAnsi="Symbol"/>
      <w:snapToGrid/>
      <w:szCs w:val="24"/>
      <w:vertAlign w:val="subscript"/>
      <w:lang w:val="en-US"/>
    </w:rPr>
  </w:style>
  <w:style w:type="paragraph" w:customStyle="1" w:styleId="normaluvuceni">
    <w:name w:val="normal_uvuceni"/>
    <w:basedOn w:val="Normal"/>
    <w:rsid w:val="002A6CB0"/>
    <w:pPr>
      <w:spacing w:before="100" w:beforeAutospacing="1" w:after="100" w:afterAutospacing="1"/>
      <w:ind w:left="1134" w:hanging="142"/>
    </w:pPr>
    <w:rPr>
      <w:rFonts w:ascii="Arial" w:hAnsi="Arial" w:cs="Arial"/>
      <w:snapToGrid/>
      <w:sz w:val="22"/>
      <w:szCs w:val="22"/>
      <w:lang w:val="en-US"/>
    </w:rPr>
  </w:style>
  <w:style w:type="paragraph" w:customStyle="1" w:styleId="normalboldct">
    <w:name w:val="normalboldct"/>
    <w:basedOn w:val="Normal"/>
    <w:rsid w:val="002A6CB0"/>
    <w:pPr>
      <w:spacing w:before="100" w:beforeAutospacing="1" w:after="100" w:afterAutospacing="1"/>
    </w:pPr>
    <w:rPr>
      <w:rFonts w:ascii="Arial" w:hAnsi="Arial" w:cs="Arial"/>
      <w:b/>
      <w:bCs/>
      <w:snapToGrid/>
      <w:szCs w:val="24"/>
      <w:lang w:val="en-US"/>
    </w:rPr>
  </w:style>
  <w:style w:type="paragraph" w:customStyle="1" w:styleId="stepen">
    <w:name w:val="stepen"/>
    <w:basedOn w:val="Normal"/>
    <w:rsid w:val="002A6CB0"/>
    <w:pPr>
      <w:spacing w:before="100" w:beforeAutospacing="1" w:after="100" w:afterAutospacing="1"/>
    </w:pPr>
    <w:rPr>
      <w:snapToGrid/>
      <w:sz w:val="15"/>
      <w:szCs w:val="15"/>
      <w:vertAlign w:val="superscript"/>
      <w:lang w:val="en-US"/>
    </w:rPr>
  </w:style>
  <w:style w:type="paragraph" w:customStyle="1" w:styleId="bulletedni">
    <w:name w:val="bulletedni"/>
    <w:basedOn w:val="Normal"/>
    <w:rsid w:val="002A6CB0"/>
    <w:pPr>
      <w:spacing w:before="100" w:beforeAutospacing="1" w:after="100" w:afterAutospacing="1"/>
    </w:pPr>
    <w:rPr>
      <w:rFonts w:ascii="Arial" w:hAnsi="Arial" w:cs="Arial"/>
      <w:snapToGrid/>
      <w:sz w:val="22"/>
      <w:szCs w:val="22"/>
      <w:lang w:val="en-US"/>
    </w:rPr>
  </w:style>
  <w:style w:type="paragraph" w:customStyle="1" w:styleId="normalpraksa">
    <w:name w:val="normalpraksa"/>
    <w:basedOn w:val="Normal"/>
    <w:rsid w:val="002A6CB0"/>
    <w:pPr>
      <w:spacing w:before="100" w:beforeAutospacing="1" w:after="100" w:afterAutospacing="1"/>
    </w:pPr>
    <w:rPr>
      <w:rFonts w:ascii="Arial" w:hAnsi="Arial" w:cs="Arial"/>
      <w:i/>
      <w:iCs/>
      <w:snapToGrid/>
      <w:sz w:val="22"/>
      <w:szCs w:val="22"/>
      <w:lang w:val="en-US"/>
    </w:rPr>
  </w:style>
  <w:style w:type="paragraph" w:customStyle="1" w:styleId="webdings">
    <w:name w:val="webdings"/>
    <w:basedOn w:val="Normal"/>
    <w:rsid w:val="002A6CB0"/>
    <w:pPr>
      <w:spacing w:before="100" w:beforeAutospacing="1" w:after="100" w:afterAutospacing="1"/>
    </w:pPr>
    <w:rPr>
      <w:rFonts w:ascii="Webdings" w:hAnsi="Webdings"/>
      <w:snapToGrid/>
      <w:sz w:val="18"/>
      <w:szCs w:val="18"/>
      <w:lang w:val="en-US"/>
    </w:rPr>
  </w:style>
  <w:style w:type="paragraph" w:customStyle="1" w:styleId="normalct">
    <w:name w:val="normalct"/>
    <w:basedOn w:val="Normal"/>
    <w:rsid w:val="002A6CB0"/>
    <w:pPr>
      <w:spacing w:before="100" w:beforeAutospacing="1" w:after="100" w:afterAutospacing="1"/>
    </w:pPr>
    <w:rPr>
      <w:rFonts w:ascii="Arial" w:hAnsi="Arial" w:cs="Arial"/>
      <w:snapToGrid/>
      <w:sz w:val="16"/>
      <w:szCs w:val="16"/>
      <w:lang w:val="en-US"/>
    </w:rPr>
  </w:style>
  <w:style w:type="paragraph" w:customStyle="1" w:styleId="normalcentaritalic">
    <w:name w:val="normalcentaritalic"/>
    <w:basedOn w:val="Normal"/>
    <w:rsid w:val="002A6CB0"/>
    <w:pPr>
      <w:spacing w:before="100" w:beforeAutospacing="1" w:after="100" w:afterAutospacing="1"/>
      <w:jc w:val="center"/>
    </w:pPr>
    <w:rPr>
      <w:rFonts w:ascii="Arial" w:hAnsi="Arial" w:cs="Arial"/>
      <w:i/>
      <w:iCs/>
      <w:snapToGrid/>
      <w:sz w:val="22"/>
      <w:szCs w:val="22"/>
      <w:lang w:val="en-US"/>
    </w:rPr>
  </w:style>
  <w:style w:type="paragraph" w:customStyle="1" w:styleId="wyq070---podpododeljak-kurziv">
    <w:name w:val="wyq070---podpododeljak-kurziv"/>
    <w:basedOn w:val="Normal"/>
    <w:rsid w:val="002A6CB0"/>
    <w:pPr>
      <w:jc w:val="center"/>
    </w:pPr>
    <w:rPr>
      <w:rFonts w:ascii="Arial" w:hAnsi="Arial" w:cs="Arial"/>
      <w:i/>
      <w:iCs/>
      <w:snapToGrid/>
      <w:sz w:val="30"/>
      <w:szCs w:val="30"/>
      <w:lang w:val="en-US"/>
    </w:rPr>
  </w:style>
  <w:style w:type="paragraph" w:customStyle="1" w:styleId="TableContents">
    <w:name w:val="Table Contents"/>
    <w:basedOn w:val="Normal"/>
    <w:rsid w:val="00F6135A"/>
    <w:pPr>
      <w:widowControl w:val="0"/>
      <w:suppressLineNumbers/>
      <w:suppressAutoHyphens/>
    </w:pPr>
    <w:rPr>
      <w:rFonts w:eastAsia="Lucida Sans Unicode"/>
      <w:snapToGrid/>
      <w:kern w:val="1"/>
      <w:szCs w:val="24"/>
      <w:lang w:val="en-US"/>
    </w:rPr>
  </w:style>
  <w:style w:type="paragraph" w:customStyle="1" w:styleId="naslov1">
    <w:name w:val="naslov1"/>
    <w:basedOn w:val="Normal"/>
    <w:rsid w:val="00F122DA"/>
    <w:pPr>
      <w:spacing w:before="48" w:after="48"/>
      <w:jc w:val="center"/>
    </w:pPr>
    <w:rPr>
      <w:b/>
      <w:bCs/>
      <w:snapToGrid/>
      <w:color w:val="084B8A"/>
      <w:sz w:val="29"/>
      <w:szCs w:val="29"/>
      <w:lang w:val="en-US"/>
    </w:rPr>
  </w:style>
  <w:style w:type="character" w:customStyle="1" w:styleId="normalbold1">
    <w:name w:val="normalbold1"/>
    <w:basedOn w:val="DefaultParagraphFont"/>
    <w:rsid w:val="00F122DA"/>
    <w:rPr>
      <w:rFonts w:ascii="Times New Roman" w:hAnsi="Times New Roman" w:cs="Times New Roman" w:hint="default"/>
      <w:b/>
      <w:bCs/>
    </w:rPr>
  </w:style>
  <w:style w:type="paragraph" w:customStyle="1" w:styleId="normaluvuceni3">
    <w:name w:val="normal_uvuceni3"/>
    <w:basedOn w:val="Normal"/>
    <w:rsid w:val="00617C8F"/>
    <w:pPr>
      <w:spacing w:before="100" w:beforeAutospacing="1" w:after="100" w:afterAutospacing="1"/>
      <w:ind w:left="992"/>
    </w:pPr>
    <w:rPr>
      <w:rFonts w:ascii="Arial" w:hAnsi="Arial" w:cs="Arial"/>
      <w:snapToGrid/>
      <w:sz w:val="22"/>
      <w:szCs w:val="22"/>
      <w:lang w:val="en-US"/>
    </w:rPr>
  </w:style>
  <w:style w:type="paragraph" w:customStyle="1" w:styleId="normalbold">
    <w:name w:val="normalbold"/>
    <w:basedOn w:val="Normal"/>
    <w:rsid w:val="00617C8F"/>
    <w:pPr>
      <w:spacing w:before="100" w:beforeAutospacing="1" w:after="100" w:afterAutospacing="1"/>
    </w:pPr>
    <w:rPr>
      <w:rFonts w:ascii="Arial" w:hAnsi="Arial" w:cs="Arial"/>
      <w:b/>
      <w:bCs/>
      <w:snapToGrid/>
      <w:sz w:val="22"/>
      <w:szCs w:val="22"/>
      <w:lang w:val="en-US"/>
    </w:rPr>
  </w:style>
  <w:style w:type="paragraph" w:customStyle="1" w:styleId="normalbolditalic">
    <w:name w:val="normalbolditalic"/>
    <w:basedOn w:val="Normal"/>
    <w:rsid w:val="00617C8F"/>
    <w:pPr>
      <w:spacing w:before="100" w:beforeAutospacing="1" w:after="100" w:afterAutospacing="1"/>
    </w:pPr>
    <w:rPr>
      <w:rFonts w:ascii="Arial" w:hAnsi="Arial" w:cs="Arial"/>
      <w:b/>
      <w:bCs/>
      <w:i/>
      <w:iCs/>
      <w:snapToGrid/>
      <w:sz w:val="22"/>
      <w:szCs w:val="22"/>
      <w:lang w:val="en-US"/>
    </w:rPr>
  </w:style>
  <w:style w:type="paragraph" w:customStyle="1" w:styleId="normalboldcentar">
    <w:name w:val="normalboldcentar"/>
    <w:basedOn w:val="Normal"/>
    <w:rsid w:val="00617C8F"/>
    <w:pPr>
      <w:spacing w:before="100" w:beforeAutospacing="1" w:after="100" w:afterAutospacing="1"/>
      <w:jc w:val="center"/>
    </w:pPr>
    <w:rPr>
      <w:rFonts w:ascii="Arial" w:hAnsi="Arial" w:cs="Arial"/>
      <w:b/>
      <w:bCs/>
      <w:snapToGrid/>
      <w:sz w:val="22"/>
      <w:szCs w:val="22"/>
      <w:lang w:val="en-US"/>
    </w:rPr>
  </w:style>
  <w:style w:type="paragraph" w:customStyle="1" w:styleId="normalcentar">
    <w:name w:val="normalcentar"/>
    <w:basedOn w:val="Normal"/>
    <w:rsid w:val="00617C8F"/>
    <w:pPr>
      <w:spacing w:before="100" w:beforeAutospacing="1" w:after="100" w:afterAutospacing="1"/>
      <w:jc w:val="center"/>
    </w:pPr>
    <w:rPr>
      <w:rFonts w:ascii="Arial" w:hAnsi="Arial" w:cs="Arial"/>
      <w:snapToGrid/>
      <w:sz w:val="22"/>
      <w:szCs w:val="22"/>
      <w:lang w:val="en-US"/>
    </w:rPr>
  </w:style>
  <w:style w:type="paragraph" w:customStyle="1" w:styleId="wyq080---odsek">
    <w:name w:val="wyq080---odsek"/>
    <w:basedOn w:val="Normal"/>
    <w:rsid w:val="00617C8F"/>
    <w:pPr>
      <w:jc w:val="center"/>
    </w:pPr>
    <w:rPr>
      <w:rFonts w:ascii="Arial" w:hAnsi="Arial" w:cs="Arial"/>
      <w:b/>
      <w:bCs/>
      <w:snapToGrid/>
      <w:sz w:val="29"/>
      <w:szCs w:val="29"/>
      <w:lang w:val="en-US"/>
    </w:rPr>
  </w:style>
  <w:style w:type="paragraph" w:customStyle="1" w:styleId="uvuceni">
    <w:name w:val="uvuceni"/>
    <w:basedOn w:val="Normal"/>
    <w:rsid w:val="00617C8F"/>
    <w:pPr>
      <w:spacing w:after="24"/>
      <w:ind w:left="720" w:hanging="288"/>
    </w:pPr>
    <w:rPr>
      <w:rFonts w:ascii="Arial" w:hAnsi="Arial" w:cs="Arial"/>
      <w:snapToGrid/>
      <w:sz w:val="22"/>
      <w:szCs w:val="22"/>
      <w:lang w:val="en-US"/>
    </w:rPr>
  </w:style>
  <w:style w:type="paragraph" w:customStyle="1" w:styleId="normaltdb">
    <w:name w:val="normaltdb"/>
    <w:basedOn w:val="Normal"/>
    <w:rsid w:val="00905821"/>
    <w:pPr>
      <w:spacing w:before="100" w:beforeAutospacing="1" w:after="100" w:afterAutospacing="1"/>
      <w:jc w:val="right"/>
    </w:pPr>
    <w:rPr>
      <w:rFonts w:ascii="Arial" w:hAnsi="Arial" w:cs="Arial"/>
      <w:b/>
      <w:bCs/>
      <w:snapToGrid/>
      <w:sz w:val="22"/>
      <w:szCs w:val="22"/>
      <w:lang w:val="en-US"/>
    </w:rPr>
  </w:style>
  <w:style w:type="paragraph" w:customStyle="1" w:styleId="naslov2">
    <w:name w:val="naslov2"/>
    <w:basedOn w:val="Normal"/>
    <w:rsid w:val="00905821"/>
    <w:pPr>
      <w:spacing w:before="100" w:beforeAutospacing="1" w:after="100" w:afterAutospacing="1"/>
      <w:jc w:val="center"/>
    </w:pPr>
    <w:rPr>
      <w:rFonts w:ascii="Arial" w:hAnsi="Arial" w:cs="Arial"/>
      <w:b/>
      <w:bCs/>
      <w:snapToGrid/>
      <w:sz w:val="29"/>
      <w:szCs w:val="29"/>
      <w:lang w:val="en-US"/>
    </w:rPr>
  </w:style>
  <w:style w:type="paragraph" w:styleId="BalloonText">
    <w:name w:val="Balloon Text"/>
    <w:basedOn w:val="Normal"/>
    <w:link w:val="BalloonTextChar"/>
    <w:rsid w:val="00332FBA"/>
    <w:rPr>
      <w:rFonts w:ascii="Tahoma" w:hAnsi="Tahoma" w:cs="Tahoma"/>
      <w:sz w:val="16"/>
      <w:szCs w:val="16"/>
    </w:rPr>
  </w:style>
  <w:style w:type="character" w:customStyle="1" w:styleId="BalloonTextChar">
    <w:name w:val="Balloon Text Char"/>
    <w:basedOn w:val="DefaultParagraphFont"/>
    <w:link w:val="BalloonText"/>
    <w:rsid w:val="00332FBA"/>
    <w:rPr>
      <w:rFonts w:ascii="Tahoma" w:hAnsi="Tahoma" w:cs="Tahoma"/>
      <w:snapToGrid w:val="0"/>
      <w:sz w:val="16"/>
      <w:szCs w:val="16"/>
      <w:lang w:val="en-GB"/>
    </w:rPr>
  </w:style>
  <w:style w:type="character" w:customStyle="1" w:styleId="Heading3Char">
    <w:name w:val="Heading 3 Char"/>
    <w:basedOn w:val="DefaultParagraphFont"/>
    <w:link w:val="Heading3"/>
    <w:semiHidden/>
    <w:rsid w:val="00857BEC"/>
    <w:rPr>
      <w:rFonts w:asciiTheme="majorHAnsi" w:eastAsiaTheme="majorEastAsia" w:hAnsiTheme="majorHAnsi" w:cstheme="majorBidi"/>
      <w:b/>
      <w:bCs/>
      <w:snapToGrid w:val="0"/>
      <w:color w:val="4F81BD" w:themeColor="accent1"/>
      <w:sz w:val="24"/>
      <w:lang w:val="en-GB"/>
    </w:rPr>
  </w:style>
  <w:style w:type="paragraph" w:styleId="z-TopofForm">
    <w:name w:val="HTML Top of Form"/>
    <w:basedOn w:val="Normal"/>
    <w:next w:val="Normal"/>
    <w:link w:val="z-TopofFormChar"/>
    <w:hidden/>
    <w:uiPriority w:val="99"/>
    <w:unhideWhenUsed/>
    <w:rsid w:val="00857BEC"/>
    <w:pPr>
      <w:pBdr>
        <w:bottom w:val="single" w:sz="6" w:space="1" w:color="auto"/>
      </w:pBdr>
      <w:jc w:val="center"/>
    </w:pPr>
    <w:rPr>
      <w:rFonts w:ascii="Arial" w:hAnsi="Arial" w:cs="Arial"/>
      <w:snapToGrid/>
      <w:vanish/>
      <w:sz w:val="16"/>
      <w:szCs w:val="16"/>
      <w:lang w:val="en-US"/>
    </w:rPr>
  </w:style>
  <w:style w:type="character" w:customStyle="1" w:styleId="z-TopofFormChar">
    <w:name w:val="z-Top of Form Char"/>
    <w:basedOn w:val="DefaultParagraphFont"/>
    <w:link w:val="z-TopofForm"/>
    <w:uiPriority w:val="99"/>
    <w:rsid w:val="00857BE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57BEC"/>
    <w:pPr>
      <w:pBdr>
        <w:top w:val="single" w:sz="6" w:space="1" w:color="auto"/>
      </w:pBdr>
      <w:jc w:val="center"/>
    </w:pPr>
    <w:rPr>
      <w:rFonts w:ascii="Arial" w:hAnsi="Arial" w:cs="Arial"/>
      <w:snapToGrid/>
      <w:vanish/>
      <w:sz w:val="16"/>
      <w:szCs w:val="16"/>
      <w:lang w:val="en-US"/>
    </w:rPr>
  </w:style>
  <w:style w:type="character" w:customStyle="1" w:styleId="z-BottomofFormChar">
    <w:name w:val="z-Bottom of Form Char"/>
    <w:basedOn w:val="DefaultParagraphFont"/>
    <w:link w:val="z-BottomofForm"/>
    <w:uiPriority w:val="99"/>
    <w:rsid w:val="00857BEC"/>
    <w:rPr>
      <w:rFonts w:ascii="Arial" w:hAnsi="Arial" w:cs="Arial"/>
      <w:vanish/>
      <w:sz w:val="16"/>
      <w:szCs w:val="16"/>
    </w:rPr>
  </w:style>
  <w:style w:type="character" w:customStyle="1" w:styleId="ata11y">
    <w:name w:val="at_a11y"/>
    <w:basedOn w:val="DefaultParagraphFont"/>
    <w:rsid w:val="00857BEC"/>
  </w:style>
  <w:style w:type="paragraph" w:customStyle="1" w:styleId="left">
    <w:name w:val="left"/>
    <w:basedOn w:val="Normal"/>
    <w:rsid w:val="00857BEC"/>
    <w:pPr>
      <w:spacing w:before="100" w:beforeAutospacing="1" w:after="100" w:afterAutospacing="1"/>
    </w:pPr>
    <w:rPr>
      <w:snapToGrid/>
      <w:szCs w:val="24"/>
      <w:lang w:val="en-US"/>
    </w:rPr>
  </w:style>
  <w:style w:type="paragraph" w:customStyle="1" w:styleId="right">
    <w:name w:val="right"/>
    <w:basedOn w:val="Normal"/>
    <w:rsid w:val="00857BEC"/>
    <w:pPr>
      <w:spacing w:before="100" w:beforeAutospacing="1" w:after="100" w:afterAutospacing="1"/>
    </w:pPr>
    <w:rPr>
      <w:snapToGrid/>
      <w:szCs w:val="24"/>
      <w:lang w:val="en-US"/>
    </w:rPr>
  </w:style>
</w:styles>
</file>

<file path=word/webSettings.xml><?xml version="1.0" encoding="utf-8"?>
<w:webSettings xmlns:r="http://schemas.openxmlformats.org/officeDocument/2006/relationships" xmlns:w="http://schemas.openxmlformats.org/wordprocessingml/2006/main">
  <w:divs>
    <w:div w:id="9837481">
      <w:bodyDiv w:val="1"/>
      <w:marLeft w:val="0"/>
      <w:marRight w:val="0"/>
      <w:marTop w:val="0"/>
      <w:marBottom w:val="0"/>
      <w:divBdr>
        <w:top w:val="none" w:sz="0" w:space="0" w:color="auto"/>
        <w:left w:val="none" w:sz="0" w:space="0" w:color="auto"/>
        <w:bottom w:val="none" w:sz="0" w:space="0" w:color="auto"/>
        <w:right w:val="none" w:sz="0" w:space="0" w:color="auto"/>
      </w:divBdr>
    </w:div>
    <w:div w:id="139467742">
      <w:bodyDiv w:val="1"/>
      <w:marLeft w:val="0"/>
      <w:marRight w:val="0"/>
      <w:marTop w:val="0"/>
      <w:marBottom w:val="0"/>
      <w:divBdr>
        <w:top w:val="none" w:sz="0" w:space="0" w:color="auto"/>
        <w:left w:val="none" w:sz="0" w:space="0" w:color="auto"/>
        <w:bottom w:val="none" w:sz="0" w:space="0" w:color="auto"/>
        <w:right w:val="none" w:sz="0" w:space="0" w:color="auto"/>
      </w:divBdr>
    </w:div>
    <w:div w:id="157112533">
      <w:bodyDiv w:val="1"/>
      <w:marLeft w:val="0"/>
      <w:marRight w:val="0"/>
      <w:marTop w:val="0"/>
      <w:marBottom w:val="0"/>
      <w:divBdr>
        <w:top w:val="none" w:sz="0" w:space="0" w:color="auto"/>
        <w:left w:val="none" w:sz="0" w:space="0" w:color="auto"/>
        <w:bottom w:val="none" w:sz="0" w:space="0" w:color="auto"/>
        <w:right w:val="none" w:sz="0" w:space="0" w:color="auto"/>
      </w:divBdr>
    </w:div>
    <w:div w:id="185295929">
      <w:bodyDiv w:val="1"/>
      <w:marLeft w:val="0"/>
      <w:marRight w:val="0"/>
      <w:marTop w:val="0"/>
      <w:marBottom w:val="0"/>
      <w:divBdr>
        <w:top w:val="none" w:sz="0" w:space="0" w:color="auto"/>
        <w:left w:val="none" w:sz="0" w:space="0" w:color="auto"/>
        <w:bottom w:val="none" w:sz="0" w:space="0" w:color="auto"/>
        <w:right w:val="none" w:sz="0" w:space="0" w:color="auto"/>
      </w:divBdr>
      <w:divsChild>
        <w:div w:id="76535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522231">
      <w:bodyDiv w:val="1"/>
      <w:marLeft w:val="0"/>
      <w:marRight w:val="0"/>
      <w:marTop w:val="0"/>
      <w:marBottom w:val="0"/>
      <w:divBdr>
        <w:top w:val="none" w:sz="0" w:space="0" w:color="auto"/>
        <w:left w:val="none" w:sz="0" w:space="0" w:color="auto"/>
        <w:bottom w:val="none" w:sz="0" w:space="0" w:color="auto"/>
        <w:right w:val="none" w:sz="0" w:space="0" w:color="auto"/>
      </w:divBdr>
    </w:div>
    <w:div w:id="271985230">
      <w:bodyDiv w:val="1"/>
      <w:marLeft w:val="0"/>
      <w:marRight w:val="0"/>
      <w:marTop w:val="0"/>
      <w:marBottom w:val="0"/>
      <w:divBdr>
        <w:top w:val="none" w:sz="0" w:space="0" w:color="auto"/>
        <w:left w:val="none" w:sz="0" w:space="0" w:color="auto"/>
        <w:bottom w:val="none" w:sz="0" w:space="0" w:color="auto"/>
        <w:right w:val="none" w:sz="0" w:space="0" w:color="auto"/>
      </w:divBdr>
    </w:div>
    <w:div w:id="280960654">
      <w:bodyDiv w:val="1"/>
      <w:marLeft w:val="0"/>
      <w:marRight w:val="0"/>
      <w:marTop w:val="0"/>
      <w:marBottom w:val="0"/>
      <w:divBdr>
        <w:top w:val="none" w:sz="0" w:space="0" w:color="auto"/>
        <w:left w:val="none" w:sz="0" w:space="0" w:color="auto"/>
        <w:bottom w:val="none" w:sz="0" w:space="0" w:color="auto"/>
        <w:right w:val="none" w:sz="0" w:space="0" w:color="auto"/>
      </w:divBdr>
    </w:div>
    <w:div w:id="359941150">
      <w:bodyDiv w:val="1"/>
      <w:marLeft w:val="0"/>
      <w:marRight w:val="0"/>
      <w:marTop w:val="0"/>
      <w:marBottom w:val="0"/>
      <w:divBdr>
        <w:top w:val="none" w:sz="0" w:space="0" w:color="auto"/>
        <w:left w:val="none" w:sz="0" w:space="0" w:color="auto"/>
        <w:bottom w:val="none" w:sz="0" w:space="0" w:color="auto"/>
        <w:right w:val="none" w:sz="0" w:space="0" w:color="auto"/>
      </w:divBdr>
      <w:divsChild>
        <w:div w:id="1847669757">
          <w:marLeft w:val="0"/>
          <w:marRight w:val="0"/>
          <w:marTop w:val="0"/>
          <w:marBottom w:val="0"/>
          <w:divBdr>
            <w:top w:val="none" w:sz="0" w:space="0" w:color="auto"/>
            <w:left w:val="none" w:sz="0" w:space="0" w:color="auto"/>
            <w:bottom w:val="none" w:sz="0" w:space="0" w:color="auto"/>
            <w:right w:val="none" w:sz="0" w:space="0" w:color="auto"/>
          </w:divBdr>
          <w:divsChild>
            <w:div w:id="955141892">
              <w:marLeft w:val="0"/>
              <w:marRight w:val="0"/>
              <w:marTop w:val="0"/>
              <w:marBottom w:val="0"/>
              <w:divBdr>
                <w:top w:val="none" w:sz="0" w:space="0" w:color="auto"/>
                <w:left w:val="none" w:sz="0" w:space="0" w:color="auto"/>
                <w:bottom w:val="none" w:sz="0" w:space="0" w:color="auto"/>
                <w:right w:val="none" w:sz="0" w:space="0" w:color="auto"/>
              </w:divBdr>
              <w:divsChild>
                <w:div w:id="926114551">
                  <w:marLeft w:val="0"/>
                  <w:marRight w:val="0"/>
                  <w:marTop w:val="0"/>
                  <w:marBottom w:val="0"/>
                  <w:divBdr>
                    <w:top w:val="none" w:sz="0" w:space="0" w:color="auto"/>
                    <w:left w:val="none" w:sz="0" w:space="0" w:color="auto"/>
                    <w:bottom w:val="none" w:sz="0" w:space="0" w:color="auto"/>
                    <w:right w:val="none" w:sz="0" w:space="0" w:color="auto"/>
                  </w:divBdr>
                  <w:divsChild>
                    <w:div w:id="1070151108">
                      <w:marLeft w:val="0"/>
                      <w:marRight w:val="0"/>
                      <w:marTop w:val="0"/>
                      <w:marBottom w:val="0"/>
                      <w:divBdr>
                        <w:top w:val="none" w:sz="0" w:space="0" w:color="auto"/>
                        <w:left w:val="none" w:sz="0" w:space="0" w:color="auto"/>
                        <w:bottom w:val="none" w:sz="0" w:space="0" w:color="auto"/>
                        <w:right w:val="none" w:sz="0" w:space="0" w:color="auto"/>
                      </w:divBdr>
                      <w:divsChild>
                        <w:div w:id="1629780505">
                          <w:marLeft w:val="0"/>
                          <w:marRight w:val="0"/>
                          <w:marTop w:val="0"/>
                          <w:marBottom w:val="0"/>
                          <w:divBdr>
                            <w:top w:val="none" w:sz="0" w:space="0" w:color="auto"/>
                            <w:left w:val="none" w:sz="0" w:space="0" w:color="auto"/>
                            <w:bottom w:val="none" w:sz="0" w:space="0" w:color="auto"/>
                            <w:right w:val="none" w:sz="0" w:space="0" w:color="auto"/>
                          </w:divBdr>
                          <w:divsChild>
                            <w:div w:id="17757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24827">
      <w:bodyDiv w:val="1"/>
      <w:marLeft w:val="0"/>
      <w:marRight w:val="0"/>
      <w:marTop w:val="0"/>
      <w:marBottom w:val="0"/>
      <w:divBdr>
        <w:top w:val="none" w:sz="0" w:space="0" w:color="auto"/>
        <w:left w:val="none" w:sz="0" w:space="0" w:color="auto"/>
        <w:bottom w:val="none" w:sz="0" w:space="0" w:color="auto"/>
        <w:right w:val="none" w:sz="0" w:space="0" w:color="auto"/>
      </w:divBdr>
      <w:divsChild>
        <w:div w:id="720591509">
          <w:marLeft w:val="0"/>
          <w:marRight w:val="0"/>
          <w:marTop w:val="0"/>
          <w:marBottom w:val="0"/>
          <w:divBdr>
            <w:top w:val="none" w:sz="0" w:space="0" w:color="auto"/>
            <w:left w:val="none" w:sz="0" w:space="0" w:color="auto"/>
            <w:bottom w:val="none" w:sz="0" w:space="0" w:color="auto"/>
            <w:right w:val="none" w:sz="0" w:space="0" w:color="auto"/>
          </w:divBdr>
          <w:divsChild>
            <w:div w:id="1616138347">
              <w:marLeft w:val="0"/>
              <w:marRight w:val="0"/>
              <w:marTop w:val="0"/>
              <w:marBottom w:val="0"/>
              <w:divBdr>
                <w:top w:val="none" w:sz="0" w:space="0" w:color="auto"/>
                <w:left w:val="none" w:sz="0" w:space="0" w:color="auto"/>
                <w:bottom w:val="none" w:sz="0" w:space="0" w:color="auto"/>
                <w:right w:val="none" w:sz="0" w:space="0" w:color="auto"/>
              </w:divBdr>
              <w:divsChild>
                <w:div w:id="549263358">
                  <w:marLeft w:val="0"/>
                  <w:marRight w:val="0"/>
                  <w:marTop w:val="0"/>
                  <w:marBottom w:val="0"/>
                  <w:divBdr>
                    <w:top w:val="none" w:sz="0" w:space="0" w:color="auto"/>
                    <w:left w:val="none" w:sz="0" w:space="0" w:color="auto"/>
                    <w:bottom w:val="none" w:sz="0" w:space="0" w:color="auto"/>
                    <w:right w:val="none" w:sz="0" w:space="0" w:color="auto"/>
                  </w:divBdr>
                  <w:divsChild>
                    <w:div w:id="591427063">
                      <w:marLeft w:val="0"/>
                      <w:marRight w:val="0"/>
                      <w:marTop w:val="0"/>
                      <w:marBottom w:val="0"/>
                      <w:divBdr>
                        <w:top w:val="none" w:sz="0" w:space="0" w:color="auto"/>
                        <w:left w:val="none" w:sz="0" w:space="0" w:color="auto"/>
                        <w:bottom w:val="none" w:sz="0" w:space="0" w:color="auto"/>
                        <w:right w:val="none" w:sz="0" w:space="0" w:color="auto"/>
                      </w:divBdr>
                      <w:divsChild>
                        <w:div w:id="2680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628">
                  <w:marLeft w:val="0"/>
                  <w:marRight w:val="0"/>
                  <w:marTop w:val="0"/>
                  <w:marBottom w:val="0"/>
                  <w:divBdr>
                    <w:top w:val="none" w:sz="0" w:space="0" w:color="auto"/>
                    <w:left w:val="none" w:sz="0" w:space="0" w:color="auto"/>
                    <w:bottom w:val="none" w:sz="0" w:space="0" w:color="auto"/>
                    <w:right w:val="none" w:sz="0" w:space="0" w:color="auto"/>
                  </w:divBdr>
                  <w:divsChild>
                    <w:div w:id="353073709">
                      <w:marLeft w:val="0"/>
                      <w:marRight w:val="0"/>
                      <w:marTop w:val="0"/>
                      <w:marBottom w:val="0"/>
                      <w:divBdr>
                        <w:top w:val="none" w:sz="0" w:space="0" w:color="auto"/>
                        <w:left w:val="none" w:sz="0" w:space="0" w:color="auto"/>
                        <w:bottom w:val="none" w:sz="0" w:space="0" w:color="auto"/>
                        <w:right w:val="none" w:sz="0" w:space="0" w:color="auto"/>
                      </w:divBdr>
                      <w:divsChild>
                        <w:div w:id="113135623">
                          <w:marLeft w:val="0"/>
                          <w:marRight w:val="0"/>
                          <w:marTop w:val="0"/>
                          <w:marBottom w:val="0"/>
                          <w:divBdr>
                            <w:top w:val="none" w:sz="0" w:space="0" w:color="auto"/>
                            <w:left w:val="none" w:sz="0" w:space="0" w:color="auto"/>
                            <w:bottom w:val="none" w:sz="0" w:space="0" w:color="auto"/>
                            <w:right w:val="none" w:sz="0" w:space="0" w:color="auto"/>
                          </w:divBdr>
                        </w:div>
                        <w:div w:id="943541686">
                          <w:marLeft w:val="0"/>
                          <w:marRight w:val="0"/>
                          <w:marTop w:val="0"/>
                          <w:marBottom w:val="0"/>
                          <w:divBdr>
                            <w:top w:val="none" w:sz="0" w:space="0" w:color="auto"/>
                            <w:left w:val="none" w:sz="0" w:space="0" w:color="auto"/>
                            <w:bottom w:val="none" w:sz="0" w:space="0" w:color="auto"/>
                            <w:right w:val="none" w:sz="0" w:space="0" w:color="auto"/>
                          </w:divBdr>
                          <w:divsChild>
                            <w:div w:id="211692205">
                              <w:marLeft w:val="0"/>
                              <w:marRight w:val="0"/>
                              <w:marTop w:val="0"/>
                              <w:marBottom w:val="0"/>
                              <w:divBdr>
                                <w:top w:val="none" w:sz="0" w:space="0" w:color="auto"/>
                                <w:left w:val="none" w:sz="0" w:space="0" w:color="auto"/>
                                <w:bottom w:val="none" w:sz="0" w:space="0" w:color="auto"/>
                                <w:right w:val="none" w:sz="0" w:space="0" w:color="auto"/>
                              </w:divBdr>
                            </w:div>
                            <w:div w:id="408649118">
                              <w:marLeft w:val="0"/>
                              <w:marRight w:val="0"/>
                              <w:marTop w:val="0"/>
                              <w:marBottom w:val="0"/>
                              <w:divBdr>
                                <w:top w:val="none" w:sz="0" w:space="0" w:color="auto"/>
                                <w:left w:val="none" w:sz="0" w:space="0" w:color="auto"/>
                                <w:bottom w:val="none" w:sz="0" w:space="0" w:color="auto"/>
                                <w:right w:val="none" w:sz="0" w:space="0" w:color="auto"/>
                              </w:divBdr>
                            </w:div>
                            <w:div w:id="881331249">
                              <w:marLeft w:val="0"/>
                              <w:marRight w:val="0"/>
                              <w:marTop w:val="0"/>
                              <w:marBottom w:val="0"/>
                              <w:divBdr>
                                <w:top w:val="none" w:sz="0" w:space="0" w:color="auto"/>
                                <w:left w:val="none" w:sz="0" w:space="0" w:color="auto"/>
                                <w:bottom w:val="none" w:sz="0" w:space="0" w:color="auto"/>
                                <w:right w:val="none" w:sz="0" w:space="0" w:color="auto"/>
                              </w:divBdr>
                            </w:div>
                            <w:div w:id="967592823">
                              <w:marLeft w:val="0"/>
                              <w:marRight w:val="0"/>
                              <w:marTop w:val="0"/>
                              <w:marBottom w:val="0"/>
                              <w:divBdr>
                                <w:top w:val="none" w:sz="0" w:space="0" w:color="auto"/>
                                <w:left w:val="none" w:sz="0" w:space="0" w:color="auto"/>
                                <w:bottom w:val="none" w:sz="0" w:space="0" w:color="auto"/>
                                <w:right w:val="none" w:sz="0" w:space="0" w:color="auto"/>
                              </w:divBdr>
                            </w:div>
                            <w:div w:id="1022050802">
                              <w:marLeft w:val="0"/>
                              <w:marRight w:val="0"/>
                              <w:marTop w:val="0"/>
                              <w:marBottom w:val="0"/>
                              <w:divBdr>
                                <w:top w:val="none" w:sz="0" w:space="0" w:color="auto"/>
                                <w:left w:val="none" w:sz="0" w:space="0" w:color="auto"/>
                                <w:bottom w:val="none" w:sz="0" w:space="0" w:color="auto"/>
                                <w:right w:val="none" w:sz="0" w:space="0" w:color="auto"/>
                              </w:divBdr>
                            </w:div>
                          </w:divsChild>
                        </w:div>
                        <w:div w:id="1680499609">
                          <w:marLeft w:val="0"/>
                          <w:marRight w:val="0"/>
                          <w:marTop w:val="0"/>
                          <w:marBottom w:val="0"/>
                          <w:divBdr>
                            <w:top w:val="none" w:sz="0" w:space="0" w:color="auto"/>
                            <w:left w:val="none" w:sz="0" w:space="0" w:color="auto"/>
                            <w:bottom w:val="none" w:sz="0" w:space="0" w:color="auto"/>
                            <w:right w:val="none" w:sz="0" w:space="0" w:color="auto"/>
                          </w:divBdr>
                        </w:div>
                      </w:divsChild>
                    </w:div>
                    <w:div w:id="642275574">
                      <w:marLeft w:val="0"/>
                      <w:marRight w:val="0"/>
                      <w:marTop w:val="0"/>
                      <w:marBottom w:val="0"/>
                      <w:divBdr>
                        <w:top w:val="none" w:sz="0" w:space="0" w:color="auto"/>
                        <w:left w:val="none" w:sz="0" w:space="0" w:color="auto"/>
                        <w:bottom w:val="none" w:sz="0" w:space="0" w:color="auto"/>
                        <w:right w:val="none" w:sz="0" w:space="0" w:color="auto"/>
                      </w:divBdr>
                      <w:divsChild>
                        <w:div w:id="1372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176">
      <w:bodyDiv w:val="1"/>
      <w:marLeft w:val="0"/>
      <w:marRight w:val="0"/>
      <w:marTop w:val="0"/>
      <w:marBottom w:val="0"/>
      <w:divBdr>
        <w:top w:val="none" w:sz="0" w:space="0" w:color="auto"/>
        <w:left w:val="none" w:sz="0" w:space="0" w:color="auto"/>
        <w:bottom w:val="none" w:sz="0" w:space="0" w:color="auto"/>
        <w:right w:val="none" w:sz="0" w:space="0" w:color="auto"/>
      </w:divBdr>
    </w:div>
    <w:div w:id="446051112">
      <w:bodyDiv w:val="1"/>
      <w:marLeft w:val="0"/>
      <w:marRight w:val="0"/>
      <w:marTop w:val="0"/>
      <w:marBottom w:val="0"/>
      <w:divBdr>
        <w:top w:val="none" w:sz="0" w:space="0" w:color="auto"/>
        <w:left w:val="none" w:sz="0" w:space="0" w:color="auto"/>
        <w:bottom w:val="none" w:sz="0" w:space="0" w:color="auto"/>
        <w:right w:val="none" w:sz="0" w:space="0" w:color="auto"/>
      </w:divBdr>
      <w:divsChild>
        <w:div w:id="1309477930">
          <w:marLeft w:val="0"/>
          <w:marRight w:val="0"/>
          <w:marTop w:val="0"/>
          <w:marBottom w:val="0"/>
          <w:divBdr>
            <w:top w:val="none" w:sz="0" w:space="0" w:color="auto"/>
            <w:left w:val="none" w:sz="0" w:space="0" w:color="auto"/>
            <w:bottom w:val="none" w:sz="0" w:space="0" w:color="auto"/>
            <w:right w:val="none" w:sz="0" w:space="0" w:color="auto"/>
          </w:divBdr>
          <w:divsChild>
            <w:div w:id="279188260">
              <w:marLeft w:val="0"/>
              <w:marRight w:val="0"/>
              <w:marTop w:val="0"/>
              <w:marBottom w:val="0"/>
              <w:divBdr>
                <w:top w:val="none" w:sz="0" w:space="0" w:color="auto"/>
                <w:left w:val="none" w:sz="0" w:space="0" w:color="auto"/>
                <w:bottom w:val="none" w:sz="0" w:space="0" w:color="auto"/>
                <w:right w:val="none" w:sz="0" w:space="0" w:color="auto"/>
              </w:divBdr>
            </w:div>
            <w:div w:id="1449156360">
              <w:marLeft w:val="0"/>
              <w:marRight w:val="0"/>
              <w:marTop w:val="0"/>
              <w:marBottom w:val="0"/>
              <w:divBdr>
                <w:top w:val="none" w:sz="0" w:space="0" w:color="auto"/>
                <w:left w:val="none" w:sz="0" w:space="0" w:color="auto"/>
                <w:bottom w:val="none" w:sz="0" w:space="0" w:color="auto"/>
                <w:right w:val="none" w:sz="0" w:space="0" w:color="auto"/>
              </w:divBdr>
            </w:div>
            <w:div w:id="1488400191">
              <w:marLeft w:val="0"/>
              <w:marRight w:val="0"/>
              <w:marTop w:val="0"/>
              <w:marBottom w:val="0"/>
              <w:divBdr>
                <w:top w:val="none" w:sz="0" w:space="0" w:color="auto"/>
                <w:left w:val="none" w:sz="0" w:space="0" w:color="auto"/>
                <w:bottom w:val="none" w:sz="0" w:space="0" w:color="auto"/>
                <w:right w:val="none" w:sz="0" w:space="0" w:color="auto"/>
              </w:divBdr>
            </w:div>
            <w:div w:id="367485707">
              <w:marLeft w:val="0"/>
              <w:marRight w:val="0"/>
              <w:marTop w:val="0"/>
              <w:marBottom w:val="0"/>
              <w:divBdr>
                <w:top w:val="none" w:sz="0" w:space="0" w:color="auto"/>
                <w:left w:val="none" w:sz="0" w:space="0" w:color="auto"/>
                <w:bottom w:val="none" w:sz="0" w:space="0" w:color="auto"/>
                <w:right w:val="none" w:sz="0" w:space="0" w:color="auto"/>
              </w:divBdr>
            </w:div>
            <w:div w:id="1137718398">
              <w:marLeft w:val="0"/>
              <w:marRight w:val="0"/>
              <w:marTop w:val="0"/>
              <w:marBottom w:val="0"/>
              <w:divBdr>
                <w:top w:val="none" w:sz="0" w:space="0" w:color="auto"/>
                <w:left w:val="none" w:sz="0" w:space="0" w:color="auto"/>
                <w:bottom w:val="none" w:sz="0" w:space="0" w:color="auto"/>
                <w:right w:val="none" w:sz="0" w:space="0" w:color="auto"/>
              </w:divBdr>
            </w:div>
          </w:divsChild>
        </w:div>
        <w:div w:id="66389103">
          <w:marLeft w:val="0"/>
          <w:marRight w:val="0"/>
          <w:marTop w:val="0"/>
          <w:marBottom w:val="0"/>
          <w:divBdr>
            <w:top w:val="none" w:sz="0" w:space="0" w:color="auto"/>
            <w:left w:val="none" w:sz="0" w:space="0" w:color="auto"/>
            <w:bottom w:val="none" w:sz="0" w:space="0" w:color="auto"/>
            <w:right w:val="none" w:sz="0" w:space="0" w:color="auto"/>
          </w:divBdr>
          <w:divsChild>
            <w:div w:id="6646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3397">
      <w:bodyDiv w:val="1"/>
      <w:marLeft w:val="0"/>
      <w:marRight w:val="0"/>
      <w:marTop w:val="0"/>
      <w:marBottom w:val="0"/>
      <w:divBdr>
        <w:top w:val="none" w:sz="0" w:space="0" w:color="auto"/>
        <w:left w:val="none" w:sz="0" w:space="0" w:color="auto"/>
        <w:bottom w:val="none" w:sz="0" w:space="0" w:color="auto"/>
        <w:right w:val="none" w:sz="0" w:space="0" w:color="auto"/>
      </w:divBdr>
    </w:div>
    <w:div w:id="483814774">
      <w:bodyDiv w:val="1"/>
      <w:marLeft w:val="0"/>
      <w:marRight w:val="0"/>
      <w:marTop w:val="0"/>
      <w:marBottom w:val="0"/>
      <w:divBdr>
        <w:top w:val="none" w:sz="0" w:space="0" w:color="auto"/>
        <w:left w:val="none" w:sz="0" w:space="0" w:color="auto"/>
        <w:bottom w:val="none" w:sz="0" w:space="0" w:color="auto"/>
        <w:right w:val="none" w:sz="0" w:space="0" w:color="auto"/>
      </w:divBdr>
    </w:div>
    <w:div w:id="487944428">
      <w:bodyDiv w:val="1"/>
      <w:marLeft w:val="0"/>
      <w:marRight w:val="0"/>
      <w:marTop w:val="0"/>
      <w:marBottom w:val="0"/>
      <w:divBdr>
        <w:top w:val="none" w:sz="0" w:space="0" w:color="auto"/>
        <w:left w:val="none" w:sz="0" w:space="0" w:color="auto"/>
        <w:bottom w:val="none" w:sz="0" w:space="0" w:color="auto"/>
        <w:right w:val="none" w:sz="0" w:space="0" w:color="auto"/>
      </w:divBdr>
    </w:div>
    <w:div w:id="500892517">
      <w:bodyDiv w:val="1"/>
      <w:marLeft w:val="0"/>
      <w:marRight w:val="0"/>
      <w:marTop w:val="0"/>
      <w:marBottom w:val="0"/>
      <w:divBdr>
        <w:top w:val="none" w:sz="0" w:space="0" w:color="auto"/>
        <w:left w:val="none" w:sz="0" w:space="0" w:color="auto"/>
        <w:bottom w:val="none" w:sz="0" w:space="0" w:color="auto"/>
        <w:right w:val="none" w:sz="0" w:space="0" w:color="auto"/>
      </w:divBdr>
    </w:div>
    <w:div w:id="544217870">
      <w:bodyDiv w:val="1"/>
      <w:marLeft w:val="0"/>
      <w:marRight w:val="0"/>
      <w:marTop w:val="0"/>
      <w:marBottom w:val="0"/>
      <w:divBdr>
        <w:top w:val="none" w:sz="0" w:space="0" w:color="auto"/>
        <w:left w:val="none" w:sz="0" w:space="0" w:color="auto"/>
        <w:bottom w:val="none" w:sz="0" w:space="0" w:color="auto"/>
        <w:right w:val="none" w:sz="0" w:space="0" w:color="auto"/>
      </w:divBdr>
    </w:div>
    <w:div w:id="561255025">
      <w:bodyDiv w:val="1"/>
      <w:marLeft w:val="0"/>
      <w:marRight w:val="0"/>
      <w:marTop w:val="0"/>
      <w:marBottom w:val="0"/>
      <w:divBdr>
        <w:top w:val="none" w:sz="0" w:space="0" w:color="auto"/>
        <w:left w:val="none" w:sz="0" w:space="0" w:color="auto"/>
        <w:bottom w:val="none" w:sz="0" w:space="0" w:color="auto"/>
        <w:right w:val="none" w:sz="0" w:space="0" w:color="auto"/>
      </w:divBdr>
    </w:div>
    <w:div w:id="584801854">
      <w:bodyDiv w:val="1"/>
      <w:marLeft w:val="0"/>
      <w:marRight w:val="0"/>
      <w:marTop w:val="0"/>
      <w:marBottom w:val="0"/>
      <w:divBdr>
        <w:top w:val="none" w:sz="0" w:space="0" w:color="auto"/>
        <w:left w:val="none" w:sz="0" w:space="0" w:color="auto"/>
        <w:bottom w:val="none" w:sz="0" w:space="0" w:color="auto"/>
        <w:right w:val="none" w:sz="0" w:space="0" w:color="auto"/>
      </w:divBdr>
      <w:divsChild>
        <w:div w:id="1882663977">
          <w:marLeft w:val="0"/>
          <w:marRight w:val="0"/>
          <w:marTop w:val="0"/>
          <w:marBottom w:val="0"/>
          <w:divBdr>
            <w:top w:val="none" w:sz="0" w:space="0" w:color="auto"/>
            <w:left w:val="none" w:sz="0" w:space="0" w:color="auto"/>
            <w:bottom w:val="none" w:sz="0" w:space="0" w:color="auto"/>
            <w:right w:val="none" w:sz="0" w:space="0" w:color="auto"/>
          </w:divBdr>
          <w:divsChild>
            <w:div w:id="10299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8233">
      <w:bodyDiv w:val="1"/>
      <w:marLeft w:val="0"/>
      <w:marRight w:val="0"/>
      <w:marTop w:val="0"/>
      <w:marBottom w:val="0"/>
      <w:divBdr>
        <w:top w:val="none" w:sz="0" w:space="0" w:color="auto"/>
        <w:left w:val="none" w:sz="0" w:space="0" w:color="auto"/>
        <w:bottom w:val="none" w:sz="0" w:space="0" w:color="auto"/>
        <w:right w:val="none" w:sz="0" w:space="0" w:color="auto"/>
      </w:divBdr>
    </w:div>
    <w:div w:id="696151752">
      <w:bodyDiv w:val="1"/>
      <w:marLeft w:val="0"/>
      <w:marRight w:val="0"/>
      <w:marTop w:val="0"/>
      <w:marBottom w:val="0"/>
      <w:divBdr>
        <w:top w:val="none" w:sz="0" w:space="0" w:color="auto"/>
        <w:left w:val="none" w:sz="0" w:space="0" w:color="auto"/>
        <w:bottom w:val="none" w:sz="0" w:space="0" w:color="auto"/>
        <w:right w:val="none" w:sz="0" w:space="0" w:color="auto"/>
      </w:divBdr>
    </w:div>
    <w:div w:id="720180236">
      <w:bodyDiv w:val="1"/>
      <w:marLeft w:val="0"/>
      <w:marRight w:val="0"/>
      <w:marTop w:val="0"/>
      <w:marBottom w:val="0"/>
      <w:divBdr>
        <w:top w:val="none" w:sz="0" w:space="0" w:color="auto"/>
        <w:left w:val="none" w:sz="0" w:space="0" w:color="auto"/>
        <w:bottom w:val="none" w:sz="0" w:space="0" w:color="auto"/>
        <w:right w:val="none" w:sz="0" w:space="0" w:color="auto"/>
      </w:divBdr>
    </w:div>
    <w:div w:id="770931267">
      <w:bodyDiv w:val="1"/>
      <w:marLeft w:val="0"/>
      <w:marRight w:val="0"/>
      <w:marTop w:val="0"/>
      <w:marBottom w:val="0"/>
      <w:divBdr>
        <w:top w:val="none" w:sz="0" w:space="0" w:color="auto"/>
        <w:left w:val="none" w:sz="0" w:space="0" w:color="auto"/>
        <w:bottom w:val="none" w:sz="0" w:space="0" w:color="auto"/>
        <w:right w:val="none" w:sz="0" w:space="0" w:color="auto"/>
      </w:divBdr>
    </w:div>
    <w:div w:id="786697651">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1575776412">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 w:id="900098979">
      <w:bodyDiv w:val="1"/>
      <w:marLeft w:val="0"/>
      <w:marRight w:val="0"/>
      <w:marTop w:val="0"/>
      <w:marBottom w:val="0"/>
      <w:divBdr>
        <w:top w:val="none" w:sz="0" w:space="0" w:color="auto"/>
        <w:left w:val="none" w:sz="0" w:space="0" w:color="auto"/>
        <w:bottom w:val="none" w:sz="0" w:space="0" w:color="auto"/>
        <w:right w:val="none" w:sz="0" w:space="0" w:color="auto"/>
      </w:divBdr>
    </w:div>
    <w:div w:id="96226959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6">
          <w:marLeft w:val="0"/>
          <w:marRight w:val="0"/>
          <w:marTop w:val="0"/>
          <w:marBottom w:val="0"/>
          <w:divBdr>
            <w:top w:val="none" w:sz="0" w:space="0" w:color="auto"/>
            <w:left w:val="none" w:sz="0" w:space="0" w:color="auto"/>
            <w:bottom w:val="none" w:sz="0" w:space="0" w:color="auto"/>
            <w:right w:val="none" w:sz="0" w:space="0" w:color="auto"/>
          </w:divBdr>
          <w:divsChild>
            <w:div w:id="534850496">
              <w:marLeft w:val="0"/>
              <w:marRight w:val="0"/>
              <w:marTop w:val="0"/>
              <w:marBottom w:val="0"/>
              <w:divBdr>
                <w:top w:val="none" w:sz="0" w:space="0" w:color="auto"/>
                <w:left w:val="none" w:sz="0" w:space="0" w:color="auto"/>
                <w:bottom w:val="none" w:sz="0" w:space="0" w:color="auto"/>
                <w:right w:val="none" w:sz="0" w:space="0" w:color="auto"/>
              </w:divBdr>
              <w:divsChild>
                <w:div w:id="1634823930">
                  <w:marLeft w:val="0"/>
                  <w:marRight w:val="0"/>
                  <w:marTop w:val="0"/>
                  <w:marBottom w:val="0"/>
                  <w:divBdr>
                    <w:top w:val="none" w:sz="0" w:space="0" w:color="auto"/>
                    <w:left w:val="none" w:sz="0" w:space="0" w:color="auto"/>
                    <w:bottom w:val="none" w:sz="0" w:space="0" w:color="auto"/>
                    <w:right w:val="none" w:sz="0" w:space="0" w:color="auto"/>
                  </w:divBdr>
                  <w:divsChild>
                    <w:div w:id="1169373150">
                      <w:marLeft w:val="0"/>
                      <w:marRight w:val="0"/>
                      <w:marTop w:val="0"/>
                      <w:marBottom w:val="0"/>
                      <w:divBdr>
                        <w:top w:val="none" w:sz="0" w:space="0" w:color="auto"/>
                        <w:left w:val="none" w:sz="0" w:space="0" w:color="auto"/>
                        <w:bottom w:val="none" w:sz="0" w:space="0" w:color="auto"/>
                        <w:right w:val="none" w:sz="0" w:space="0" w:color="auto"/>
                      </w:divBdr>
                      <w:divsChild>
                        <w:div w:id="1723290351">
                          <w:marLeft w:val="0"/>
                          <w:marRight w:val="0"/>
                          <w:marTop w:val="0"/>
                          <w:marBottom w:val="0"/>
                          <w:divBdr>
                            <w:top w:val="none" w:sz="0" w:space="0" w:color="auto"/>
                            <w:left w:val="none" w:sz="0" w:space="0" w:color="auto"/>
                            <w:bottom w:val="none" w:sz="0" w:space="0" w:color="auto"/>
                            <w:right w:val="none" w:sz="0" w:space="0" w:color="auto"/>
                          </w:divBdr>
                          <w:divsChild>
                            <w:div w:id="2135587971">
                              <w:marLeft w:val="0"/>
                              <w:marRight w:val="0"/>
                              <w:marTop w:val="0"/>
                              <w:marBottom w:val="0"/>
                              <w:divBdr>
                                <w:top w:val="none" w:sz="0" w:space="0" w:color="auto"/>
                                <w:left w:val="none" w:sz="0" w:space="0" w:color="auto"/>
                                <w:bottom w:val="none" w:sz="0" w:space="0" w:color="auto"/>
                                <w:right w:val="none" w:sz="0" w:space="0" w:color="auto"/>
                              </w:divBdr>
                              <w:divsChild>
                                <w:div w:id="18902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805382">
      <w:bodyDiv w:val="1"/>
      <w:marLeft w:val="0"/>
      <w:marRight w:val="0"/>
      <w:marTop w:val="0"/>
      <w:marBottom w:val="0"/>
      <w:divBdr>
        <w:top w:val="none" w:sz="0" w:space="0" w:color="auto"/>
        <w:left w:val="none" w:sz="0" w:space="0" w:color="auto"/>
        <w:bottom w:val="none" w:sz="0" w:space="0" w:color="auto"/>
        <w:right w:val="none" w:sz="0" w:space="0" w:color="auto"/>
      </w:divBdr>
    </w:div>
    <w:div w:id="1000350628">
      <w:bodyDiv w:val="1"/>
      <w:marLeft w:val="0"/>
      <w:marRight w:val="0"/>
      <w:marTop w:val="0"/>
      <w:marBottom w:val="0"/>
      <w:divBdr>
        <w:top w:val="none" w:sz="0" w:space="0" w:color="auto"/>
        <w:left w:val="none" w:sz="0" w:space="0" w:color="auto"/>
        <w:bottom w:val="none" w:sz="0" w:space="0" w:color="auto"/>
        <w:right w:val="none" w:sz="0" w:space="0" w:color="auto"/>
      </w:divBdr>
    </w:div>
    <w:div w:id="1031414627">
      <w:bodyDiv w:val="1"/>
      <w:marLeft w:val="0"/>
      <w:marRight w:val="0"/>
      <w:marTop w:val="0"/>
      <w:marBottom w:val="0"/>
      <w:divBdr>
        <w:top w:val="none" w:sz="0" w:space="0" w:color="auto"/>
        <w:left w:val="none" w:sz="0" w:space="0" w:color="auto"/>
        <w:bottom w:val="none" w:sz="0" w:space="0" w:color="auto"/>
        <w:right w:val="none" w:sz="0" w:space="0" w:color="auto"/>
      </w:divBdr>
      <w:divsChild>
        <w:div w:id="409238726">
          <w:marLeft w:val="0"/>
          <w:marRight w:val="0"/>
          <w:marTop w:val="0"/>
          <w:marBottom w:val="0"/>
          <w:divBdr>
            <w:top w:val="none" w:sz="0" w:space="0" w:color="auto"/>
            <w:left w:val="none" w:sz="0" w:space="0" w:color="auto"/>
            <w:bottom w:val="none" w:sz="0" w:space="0" w:color="auto"/>
            <w:right w:val="none" w:sz="0" w:space="0" w:color="auto"/>
          </w:divBdr>
        </w:div>
        <w:div w:id="983579362">
          <w:marLeft w:val="0"/>
          <w:marRight w:val="0"/>
          <w:marTop w:val="0"/>
          <w:marBottom w:val="0"/>
          <w:divBdr>
            <w:top w:val="none" w:sz="0" w:space="0" w:color="auto"/>
            <w:left w:val="none" w:sz="0" w:space="0" w:color="auto"/>
            <w:bottom w:val="none" w:sz="0" w:space="0" w:color="auto"/>
            <w:right w:val="none" w:sz="0" w:space="0" w:color="auto"/>
          </w:divBdr>
        </w:div>
        <w:div w:id="1501116989">
          <w:marLeft w:val="0"/>
          <w:marRight w:val="0"/>
          <w:marTop w:val="0"/>
          <w:marBottom w:val="0"/>
          <w:divBdr>
            <w:top w:val="none" w:sz="0" w:space="0" w:color="auto"/>
            <w:left w:val="none" w:sz="0" w:space="0" w:color="auto"/>
            <w:bottom w:val="none" w:sz="0" w:space="0" w:color="auto"/>
            <w:right w:val="none" w:sz="0" w:space="0" w:color="auto"/>
          </w:divBdr>
          <w:divsChild>
            <w:div w:id="1755590551">
              <w:marLeft w:val="0"/>
              <w:marRight w:val="0"/>
              <w:marTop w:val="0"/>
              <w:marBottom w:val="0"/>
              <w:divBdr>
                <w:top w:val="none" w:sz="0" w:space="0" w:color="auto"/>
                <w:left w:val="none" w:sz="0" w:space="0" w:color="auto"/>
                <w:bottom w:val="none" w:sz="0" w:space="0" w:color="auto"/>
                <w:right w:val="none" w:sz="0" w:space="0" w:color="auto"/>
              </w:divBdr>
              <w:divsChild>
                <w:div w:id="1596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9783">
          <w:marLeft w:val="0"/>
          <w:marRight w:val="0"/>
          <w:marTop w:val="0"/>
          <w:marBottom w:val="0"/>
          <w:divBdr>
            <w:top w:val="none" w:sz="0" w:space="0" w:color="auto"/>
            <w:left w:val="none" w:sz="0" w:space="0" w:color="auto"/>
            <w:bottom w:val="none" w:sz="0" w:space="0" w:color="auto"/>
            <w:right w:val="none" w:sz="0" w:space="0" w:color="auto"/>
          </w:divBdr>
        </w:div>
      </w:divsChild>
    </w:div>
    <w:div w:id="1045256666">
      <w:bodyDiv w:val="1"/>
      <w:marLeft w:val="0"/>
      <w:marRight w:val="0"/>
      <w:marTop w:val="0"/>
      <w:marBottom w:val="0"/>
      <w:divBdr>
        <w:top w:val="none" w:sz="0" w:space="0" w:color="auto"/>
        <w:left w:val="none" w:sz="0" w:space="0" w:color="auto"/>
        <w:bottom w:val="none" w:sz="0" w:space="0" w:color="auto"/>
        <w:right w:val="none" w:sz="0" w:space="0" w:color="auto"/>
      </w:divBdr>
    </w:div>
    <w:div w:id="1101148729">
      <w:bodyDiv w:val="1"/>
      <w:marLeft w:val="0"/>
      <w:marRight w:val="0"/>
      <w:marTop w:val="0"/>
      <w:marBottom w:val="0"/>
      <w:divBdr>
        <w:top w:val="none" w:sz="0" w:space="0" w:color="auto"/>
        <w:left w:val="none" w:sz="0" w:space="0" w:color="auto"/>
        <w:bottom w:val="none" w:sz="0" w:space="0" w:color="auto"/>
        <w:right w:val="none" w:sz="0" w:space="0" w:color="auto"/>
      </w:divBdr>
    </w:div>
    <w:div w:id="1116827017">
      <w:bodyDiv w:val="1"/>
      <w:marLeft w:val="0"/>
      <w:marRight w:val="0"/>
      <w:marTop w:val="0"/>
      <w:marBottom w:val="0"/>
      <w:divBdr>
        <w:top w:val="none" w:sz="0" w:space="0" w:color="auto"/>
        <w:left w:val="none" w:sz="0" w:space="0" w:color="auto"/>
        <w:bottom w:val="none" w:sz="0" w:space="0" w:color="auto"/>
        <w:right w:val="none" w:sz="0" w:space="0" w:color="auto"/>
      </w:divBdr>
      <w:divsChild>
        <w:div w:id="726803412">
          <w:marLeft w:val="0"/>
          <w:marRight w:val="0"/>
          <w:marTop w:val="0"/>
          <w:marBottom w:val="0"/>
          <w:divBdr>
            <w:top w:val="none" w:sz="0" w:space="0" w:color="auto"/>
            <w:left w:val="none" w:sz="0" w:space="0" w:color="auto"/>
            <w:bottom w:val="none" w:sz="0" w:space="0" w:color="auto"/>
            <w:right w:val="none" w:sz="0" w:space="0" w:color="auto"/>
          </w:divBdr>
        </w:div>
        <w:div w:id="1760635794">
          <w:marLeft w:val="0"/>
          <w:marRight w:val="0"/>
          <w:marTop w:val="0"/>
          <w:marBottom w:val="0"/>
          <w:divBdr>
            <w:top w:val="none" w:sz="0" w:space="0" w:color="auto"/>
            <w:left w:val="none" w:sz="0" w:space="0" w:color="auto"/>
            <w:bottom w:val="none" w:sz="0" w:space="0" w:color="auto"/>
            <w:right w:val="none" w:sz="0" w:space="0" w:color="auto"/>
          </w:divBdr>
          <w:divsChild>
            <w:div w:id="1292591718">
              <w:marLeft w:val="0"/>
              <w:marRight w:val="0"/>
              <w:marTop w:val="0"/>
              <w:marBottom w:val="0"/>
              <w:divBdr>
                <w:top w:val="none" w:sz="0" w:space="0" w:color="auto"/>
                <w:left w:val="none" w:sz="0" w:space="0" w:color="auto"/>
                <w:bottom w:val="none" w:sz="0" w:space="0" w:color="auto"/>
                <w:right w:val="none" w:sz="0" w:space="0" w:color="auto"/>
              </w:divBdr>
              <w:divsChild>
                <w:div w:id="354237416">
                  <w:marLeft w:val="0"/>
                  <w:marRight w:val="0"/>
                  <w:marTop w:val="0"/>
                  <w:marBottom w:val="0"/>
                  <w:divBdr>
                    <w:top w:val="none" w:sz="0" w:space="0" w:color="auto"/>
                    <w:left w:val="none" w:sz="0" w:space="0" w:color="auto"/>
                    <w:bottom w:val="none" w:sz="0" w:space="0" w:color="auto"/>
                    <w:right w:val="none" w:sz="0" w:space="0" w:color="auto"/>
                  </w:divBdr>
                </w:div>
              </w:divsChild>
            </w:div>
            <w:div w:id="723065237">
              <w:marLeft w:val="0"/>
              <w:marRight w:val="0"/>
              <w:marTop w:val="0"/>
              <w:marBottom w:val="0"/>
              <w:divBdr>
                <w:top w:val="none" w:sz="0" w:space="0" w:color="auto"/>
                <w:left w:val="none" w:sz="0" w:space="0" w:color="auto"/>
                <w:bottom w:val="none" w:sz="0" w:space="0" w:color="auto"/>
                <w:right w:val="none" w:sz="0" w:space="0" w:color="auto"/>
              </w:divBdr>
              <w:divsChild>
                <w:div w:id="1107581235">
                  <w:marLeft w:val="0"/>
                  <w:marRight w:val="0"/>
                  <w:marTop w:val="0"/>
                  <w:marBottom w:val="0"/>
                  <w:divBdr>
                    <w:top w:val="none" w:sz="0" w:space="0" w:color="auto"/>
                    <w:left w:val="none" w:sz="0" w:space="0" w:color="auto"/>
                    <w:bottom w:val="none" w:sz="0" w:space="0" w:color="auto"/>
                    <w:right w:val="none" w:sz="0" w:space="0" w:color="auto"/>
                  </w:divBdr>
                  <w:divsChild>
                    <w:div w:id="21028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9884">
          <w:marLeft w:val="0"/>
          <w:marRight w:val="0"/>
          <w:marTop w:val="0"/>
          <w:marBottom w:val="0"/>
          <w:divBdr>
            <w:top w:val="none" w:sz="0" w:space="0" w:color="auto"/>
            <w:left w:val="none" w:sz="0" w:space="0" w:color="auto"/>
            <w:bottom w:val="none" w:sz="0" w:space="0" w:color="auto"/>
            <w:right w:val="none" w:sz="0" w:space="0" w:color="auto"/>
          </w:divBdr>
          <w:divsChild>
            <w:div w:id="1540701223">
              <w:marLeft w:val="0"/>
              <w:marRight w:val="0"/>
              <w:marTop w:val="0"/>
              <w:marBottom w:val="0"/>
              <w:divBdr>
                <w:top w:val="none" w:sz="0" w:space="0" w:color="auto"/>
                <w:left w:val="none" w:sz="0" w:space="0" w:color="auto"/>
                <w:bottom w:val="none" w:sz="0" w:space="0" w:color="auto"/>
                <w:right w:val="none" w:sz="0" w:space="0" w:color="auto"/>
              </w:divBdr>
              <w:divsChild>
                <w:div w:id="644317182">
                  <w:marLeft w:val="0"/>
                  <w:marRight w:val="0"/>
                  <w:marTop w:val="0"/>
                  <w:marBottom w:val="0"/>
                  <w:divBdr>
                    <w:top w:val="none" w:sz="0" w:space="0" w:color="auto"/>
                    <w:left w:val="none" w:sz="0" w:space="0" w:color="auto"/>
                    <w:bottom w:val="none" w:sz="0" w:space="0" w:color="auto"/>
                    <w:right w:val="none" w:sz="0" w:space="0" w:color="auto"/>
                  </w:divBdr>
                </w:div>
              </w:divsChild>
            </w:div>
            <w:div w:id="990712515">
              <w:marLeft w:val="0"/>
              <w:marRight w:val="0"/>
              <w:marTop w:val="0"/>
              <w:marBottom w:val="0"/>
              <w:divBdr>
                <w:top w:val="none" w:sz="0" w:space="0" w:color="auto"/>
                <w:left w:val="none" w:sz="0" w:space="0" w:color="auto"/>
                <w:bottom w:val="none" w:sz="0" w:space="0" w:color="auto"/>
                <w:right w:val="none" w:sz="0" w:space="0" w:color="auto"/>
              </w:divBdr>
              <w:divsChild>
                <w:div w:id="226185203">
                  <w:marLeft w:val="0"/>
                  <w:marRight w:val="0"/>
                  <w:marTop w:val="0"/>
                  <w:marBottom w:val="0"/>
                  <w:divBdr>
                    <w:top w:val="none" w:sz="0" w:space="0" w:color="auto"/>
                    <w:left w:val="none" w:sz="0" w:space="0" w:color="auto"/>
                    <w:bottom w:val="none" w:sz="0" w:space="0" w:color="auto"/>
                    <w:right w:val="none" w:sz="0" w:space="0" w:color="auto"/>
                  </w:divBdr>
                  <w:divsChild>
                    <w:div w:id="1102066099">
                      <w:marLeft w:val="0"/>
                      <w:marRight w:val="0"/>
                      <w:marTop w:val="0"/>
                      <w:marBottom w:val="0"/>
                      <w:divBdr>
                        <w:top w:val="none" w:sz="0" w:space="0" w:color="auto"/>
                        <w:left w:val="none" w:sz="0" w:space="0" w:color="auto"/>
                        <w:bottom w:val="none" w:sz="0" w:space="0" w:color="auto"/>
                        <w:right w:val="none" w:sz="0" w:space="0" w:color="auto"/>
                      </w:divBdr>
                      <w:divsChild>
                        <w:div w:id="840050095">
                          <w:marLeft w:val="0"/>
                          <w:marRight w:val="0"/>
                          <w:marTop w:val="150"/>
                          <w:marBottom w:val="0"/>
                          <w:divBdr>
                            <w:top w:val="none" w:sz="0" w:space="0" w:color="auto"/>
                            <w:left w:val="none" w:sz="0" w:space="0" w:color="auto"/>
                            <w:bottom w:val="none" w:sz="0" w:space="0" w:color="auto"/>
                            <w:right w:val="none" w:sz="0" w:space="0" w:color="auto"/>
                          </w:divBdr>
                          <w:divsChild>
                            <w:div w:id="1143736213">
                              <w:marLeft w:val="0"/>
                              <w:marRight w:val="0"/>
                              <w:marTop w:val="0"/>
                              <w:marBottom w:val="0"/>
                              <w:divBdr>
                                <w:top w:val="none" w:sz="0" w:space="0" w:color="auto"/>
                                <w:left w:val="none" w:sz="0" w:space="0" w:color="auto"/>
                                <w:bottom w:val="none" w:sz="0" w:space="0" w:color="auto"/>
                                <w:right w:val="none" w:sz="0" w:space="0" w:color="auto"/>
                              </w:divBdr>
                            </w:div>
                            <w:div w:id="1703245260">
                              <w:marLeft w:val="0"/>
                              <w:marRight w:val="0"/>
                              <w:marTop w:val="0"/>
                              <w:marBottom w:val="0"/>
                              <w:divBdr>
                                <w:top w:val="none" w:sz="0" w:space="0" w:color="auto"/>
                                <w:left w:val="none" w:sz="0" w:space="0" w:color="auto"/>
                                <w:bottom w:val="none" w:sz="0" w:space="0" w:color="auto"/>
                                <w:right w:val="none" w:sz="0" w:space="0" w:color="auto"/>
                              </w:divBdr>
                            </w:div>
                            <w:div w:id="1235506259">
                              <w:marLeft w:val="0"/>
                              <w:marRight w:val="0"/>
                              <w:marTop w:val="0"/>
                              <w:marBottom w:val="0"/>
                              <w:divBdr>
                                <w:top w:val="none" w:sz="0" w:space="0" w:color="auto"/>
                                <w:left w:val="none" w:sz="0" w:space="0" w:color="auto"/>
                                <w:bottom w:val="none" w:sz="0" w:space="0" w:color="auto"/>
                                <w:right w:val="none" w:sz="0" w:space="0" w:color="auto"/>
                              </w:divBdr>
                              <w:divsChild>
                                <w:div w:id="1971090172">
                                  <w:marLeft w:val="0"/>
                                  <w:marRight w:val="0"/>
                                  <w:marTop w:val="0"/>
                                  <w:marBottom w:val="0"/>
                                  <w:divBdr>
                                    <w:top w:val="none" w:sz="0" w:space="0" w:color="auto"/>
                                    <w:left w:val="none" w:sz="0" w:space="0" w:color="auto"/>
                                    <w:bottom w:val="none" w:sz="0" w:space="0" w:color="auto"/>
                                    <w:right w:val="none" w:sz="0" w:space="0" w:color="auto"/>
                                  </w:divBdr>
                                  <w:divsChild>
                                    <w:div w:id="1001742804">
                                      <w:marLeft w:val="0"/>
                                      <w:marRight w:val="0"/>
                                      <w:marTop w:val="0"/>
                                      <w:marBottom w:val="0"/>
                                      <w:divBdr>
                                        <w:top w:val="none" w:sz="0" w:space="0" w:color="auto"/>
                                        <w:left w:val="none" w:sz="0" w:space="0" w:color="auto"/>
                                        <w:bottom w:val="none" w:sz="0" w:space="0" w:color="auto"/>
                                        <w:right w:val="none" w:sz="0" w:space="0" w:color="auto"/>
                                      </w:divBdr>
                                    </w:div>
                                    <w:div w:id="948121011">
                                      <w:marLeft w:val="0"/>
                                      <w:marRight w:val="0"/>
                                      <w:marTop w:val="0"/>
                                      <w:marBottom w:val="0"/>
                                      <w:divBdr>
                                        <w:top w:val="none" w:sz="0" w:space="0" w:color="auto"/>
                                        <w:left w:val="none" w:sz="0" w:space="0" w:color="auto"/>
                                        <w:bottom w:val="none" w:sz="0" w:space="0" w:color="auto"/>
                                        <w:right w:val="none" w:sz="0" w:space="0" w:color="auto"/>
                                      </w:divBdr>
                                    </w:div>
                                    <w:div w:id="1042751424">
                                      <w:marLeft w:val="0"/>
                                      <w:marRight w:val="0"/>
                                      <w:marTop w:val="0"/>
                                      <w:marBottom w:val="0"/>
                                      <w:divBdr>
                                        <w:top w:val="none" w:sz="0" w:space="0" w:color="auto"/>
                                        <w:left w:val="none" w:sz="0" w:space="0" w:color="auto"/>
                                        <w:bottom w:val="none" w:sz="0" w:space="0" w:color="auto"/>
                                        <w:right w:val="none" w:sz="0" w:space="0" w:color="auto"/>
                                      </w:divBdr>
                                    </w:div>
                                    <w:div w:id="377708730">
                                      <w:marLeft w:val="0"/>
                                      <w:marRight w:val="0"/>
                                      <w:marTop w:val="0"/>
                                      <w:marBottom w:val="0"/>
                                      <w:divBdr>
                                        <w:top w:val="none" w:sz="0" w:space="0" w:color="auto"/>
                                        <w:left w:val="none" w:sz="0" w:space="0" w:color="auto"/>
                                        <w:bottom w:val="none" w:sz="0" w:space="0" w:color="auto"/>
                                        <w:right w:val="none" w:sz="0" w:space="0" w:color="auto"/>
                                      </w:divBdr>
                                    </w:div>
                                    <w:div w:id="1752236918">
                                      <w:marLeft w:val="0"/>
                                      <w:marRight w:val="0"/>
                                      <w:marTop w:val="0"/>
                                      <w:marBottom w:val="0"/>
                                      <w:divBdr>
                                        <w:top w:val="none" w:sz="0" w:space="0" w:color="auto"/>
                                        <w:left w:val="none" w:sz="0" w:space="0" w:color="auto"/>
                                        <w:bottom w:val="none" w:sz="0" w:space="0" w:color="auto"/>
                                        <w:right w:val="none" w:sz="0" w:space="0" w:color="auto"/>
                                      </w:divBdr>
                                    </w:div>
                                    <w:div w:id="1108426966">
                                      <w:marLeft w:val="0"/>
                                      <w:marRight w:val="0"/>
                                      <w:marTop w:val="0"/>
                                      <w:marBottom w:val="0"/>
                                      <w:divBdr>
                                        <w:top w:val="none" w:sz="0" w:space="0" w:color="auto"/>
                                        <w:left w:val="none" w:sz="0" w:space="0" w:color="auto"/>
                                        <w:bottom w:val="none" w:sz="0" w:space="0" w:color="auto"/>
                                        <w:right w:val="none" w:sz="0" w:space="0" w:color="auto"/>
                                      </w:divBdr>
                                    </w:div>
                                  </w:divsChild>
                                </w:div>
                                <w:div w:id="405078425">
                                  <w:marLeft w:val="0"/>
                                  <w:marRight w:val="0"/>
                                  <w:marTop w:val="0"/>
                                  <w:marBottom w:val="0"/>
                                  <w:divBdr>
                                    <w:top w:val="none" w:sz="0" w:space="0" w:color="auto"/>
                                    <w:left w:val="none" w:sz="0" w:space="0" w:color="auto"/>
                                    <w:bottom w:val="none" w:sz="0" w:space="0" w:color="auto"/>
                                    <w:right w:val="none" w:sz="0" w:space="0" w:color="auto"/>
                                  </w:divBdr>
                                  <w:divsChild>
                                    <w:div w:id="1003124148">
                                      <w:marLeft w:val="0"/>
                                      <w:marRight w:val="0"/>
                                      <w:marTop w:val="0"/>
                                      <w:marBottom w:val="0"/>
                                      <w:divBdr>
                                        <w:top w:val="none" w:sz="0" w:space="0" w:color="auto"/>
                                        <w:left w:val="none" w:sz="0" w:space="0" w:color="auto"/>
                                        <w:bottom w:val="none" w:sz="0" w:space="0" w:color="auto"/>
                                        <w:right w:val="none" w:sz="0" w:space="0" w:color="auto"/>
                                      </w:divBdr>
                                      <w:divsChild>
                                        <w:div w:id="1336375423">
                                          <w:marLeft w:val="0"/>
                                          <w:marRight w:val="0"/>
                                          <w:marTop w:val="50"/>
                                          <w:marBottom w:val="140"/>
                                          <w:divBdr>
                                            <w:top w:val="none" w:sz="0" w:space="0" w:color="auto"/>
                                            <w:left w:val="none" w:sz="0" w:space="0" w:color="auto"/>
                                            <w:bottom w:val="none" w:sz="0" w:space="0" w:color="auto"/>
                                            <w:right w:val="none" w:sz="0" w:space="0" w:color="auto"/>
                                          </w:divBdr>
                                        </w:div>
                                        <w:div w:id="1302539198">
                                          <w:marLeft w:val="0"/>
                                          <w:marRight w:val="0"/>
                                          <w:marTop w:val="0"/>
                                          <w:marBottom w:val="0"/>
                                          <w:divBdr>
                                            <w:top w:val="none" w:sz="0" w:space="0" w:color="auto"/>
                                            <w:left w:val="none" w:sz="0" w:space="0" w:color="auto"/>
                                            <w:bottom w:val="none" w:sz="0" w:space="0" w:color="auto"/>
                                            <w:right w:val="none" w:sz="0" w:space="0" w:color="auto"/>
                                          </w:divBdr>
                                          <w:divsChild>
                                            <w:div w:id="12220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4605">
                              <w:marLeft w:val="0"/>
                              <w:marRight w:val="0"/>
                              <w:marTop w:val="0"/>
                              <w:marBottom w:val="0"/>
                              <w:divBdr>
                                <w:top w:val="none" w:sz="0" w:space="0" w:color="auto"/>
                                <w:left w:val="none" w:sz="0" w:space="0" w:color="auto"/>
                                <w:bottom w:val="none" w:sz="0" w:space="0" w:color="auto"/>
                                <w:right w:val="none" w:sz="0" w:space="0" w:color="auto"/>
                              </w:divBdr>
                              <w:divsChild>
                                <w:div w:id="93717422">
                                  <w:marLeft w:val="0"/>
                                  <w:marRight w:val="0"/>
                                  <w:marTop w:val="0"/>
                                  <w:marBottom w:val="0"/>
                                  <w:divBdr>
                                    <w:top w:val="none" w:sz="0" w:space="0" w:color="auto"/>
                                    <w:left w:val="none" w:sz="0" w:space="0" w:color="auto"/>
                                    <w:bottom w:val="none" w:sz="0" w:space="0" w:color="auto"/>
                                    <w:right w:val="none" w:sz="0" w:space="0" w:color="auto"/>
                                  </w:divBdr>
                                </w:div>
                              </w:divsChild>
                            </w:div>
                            <w:div w:id="1176265486">
                              <w:marLeft w:val="0"/>
                              <w:marRight w:val="0"/>
                              <w:marTop w:val="0"/>
                              <w:marBottom w:val="0"/>
                              <w:divBdr>
                                <w:top w:val="single" w:sz="4" w:space="1" w:color="000000"/>
                                <w:left w:val="none" w:sz="0" w:space="0" w:color="auto"/>
                                <w:bottom w:val="none" w:sz="0" w:space="0" w:color="auto"/>
                                <w:right w:val="none" w:sz="0" w:space="0" w:color="auto"/>
                              </w:divBdr>
                            </w:div>
                          </w:divsChild>
                        </w:div>
                      </w:divsChild>
                    </w:div>
                    <w:div w:id="2111970433">
                      <w:marLeft w:val="0"/>
                      <w:marRight w:val="0"/>
                      <w:marTop w:val="0"/>
                      <w:marBottom w:val="0"/>
                      <w:divBdr>
                        <w:top w:val="none" w:sz="0" w:space="0" w:color="auto"/>
                        <w:left w:val="none" w:sz="0" w:space="0" w:color="auto"/>
                        <w:bottom w:val="none" w:sz="0" w:space="0" w:color="auto"/>
                        <w:right w:val="none" w:sz="0" w:space="0" w:color="auto"/>
                      </w:divBdr>
                      <w:divsChild>
                        <w:div w:id="997221577">
                          <w:marLeft w:val="0"/>
                          <w:marRight w:val="0"/>
                          <w:marTop w:val="0"/>
                          <w:marBottom w:val="0"/>
                          <w:divBdr>
                            <w:top w:val="none" w:sz="0" w:space="0" w:color="auto"/>
                            <w:left w:val="none" w:sz="0" w:space="0" w:color="auto"/>
                            <w:bottom w:val="none" w:sz="0" w:space="0" w:color="auto"/>
                            <w:right w:val="none" w:sz="0" w:space="0" w:color="auto"/>
                          </w:divBdr>
                        </w:div>
                        <w:div w:id="563834760">
                          <w:marLeft w:val="0"/>
                          <w:marRight w:val="0"/>
                          <w:marTop w:val="0"/>
                          <w:marBottom w:val="0"/>
                          <w:divBdr>
                            <w:top w:val="none" w:sz="0" w:space="0" w:color="auto"/>
                            <w:left w:val="none" w:sz="0" w:space="0" w:color="auto"/>
                            <w:bottom w:val="none" w:sz="0" w:space="0" w:color="auto"/>
                            <w:right w:val="none" w:sz="0" w:space="0" w:color="auto"/>
                          </w:divBdr>
                        </w:div>
                        <w:div w:id="1878618128">
                          <w:marLeft w:val="0"/>
                          <w:marRight w:val="0"/>
                          <w:marTop w:val="0"/>
                          <w:marBottom w:val="0"/>
                          <w:divBdr>
                            <w:top w:val="none" w:sz="0" w:space="0" w:color="auto"/>
                            <w:left w:val="none" w:sz="0" w:space="0" w:color="auto"/>
                            <w:bottom w:val="none" w:sz="0" w:space="0" w:color="auto"/>
                            <w:right w:val="none" w:sz="0" w:space="0" w:color="auto"/>
                          </w:divBdr>
                        </w:div>
                        <w:div w:id="995035166">
                          <w:marLeft w:val="0"/>
                          <w:marRight w:val="0"/>
                          <w:marTop w:val="0"/>
                          <w:marBottom w:val="0"/>
                          <w:divBdr>
                            <w:top w:val="none" w:sz="0" w:space="0" w:color="auto"/>
                            <w:left w:val="none" w:sz="0" w:space="0" w:color="auto"/>
                            <w:bottom w:val="none" w:sz="0" w:space="0" w:color="auto"/>
                            <w:right w:val="none" w:sz="0" w:space="0" w:color="auto"/>
                          </w:divBdr>
                          <w:divsChild>
                            <w:div w:id="9475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142">
      <w:bodyDiv w:val="1"/>
      <w:marLeft w:val="0"/>
      <w:marRight w:val="0"/>
      <w:marTop w:val="0"/>
      <w:marBottom w:val="0"/>
      <w:divBdr>
        <w:top w:val="none" w:sz="0" w:space="0" w:color="auto"/>
        <w:left w:val="none" w:sz="0" w:space="0" w:color="auto"/>
        <w:bottom w:val="none" w:sz="0" w:space="0" w:color="auto"/>
        <w:right w:val="none" w:sz="0" w:space="0" w:color="auto"/>
      </w:divBdr>
    </w:div>
    <w:div w:id="1255892563">
      <w:bodyDiv w:val="1"/>
      <w:marLeft w:val="0"/>
      <w:marRight w:val="0"/>
      <w:marTop w:val="0"/>
      <w:marBottom w:val="0"/>
      <w:divBdr>
        <w:top w:val="none" w:sz="0" w:space="0" w:color="auto"/>
        <w:left w:val="none" w:sz="0" w:space="0" w:color="auto"/>
        <w:bottom w:val="none" w:sz="0" w:space="0" w:color="auto"/>
        <w:right w:val="none" w:sz="0" w:space="0" w:color="auto"/>
      </w:divBdr>
    </w:div>
    <w:div w:id="1292057951">
      <w:bodyDiv w:val="1"/>
      <w:marLeft w:val="0"/>
      <w:marRight w:val="0"/>
      <w:marTop w:val="0"/>
      <w:marBottom w:val="0"/>
      <w:divBdr>
        <w:top w:val="none" w:sz="0" w:space="0" w:color="auto"/>
        <w:left w:val="none" w:sz="0" w:space="0" w:color="auto"/>
        <w:bottom w:val="none" w:sz="0" w:space="0" w:color="auto"/>
        <w:right w:val="none" w:sz="0" w:space="0" w:color="auto"/>
      </w:divBdr>
    </w:div>
    <w:div w:id="1309745683">
      <w:bodyDiv w:val="1"/>
      <w:marLeft w:val="0"/>
      <w:marRight w:val="0"/>
      <w:marTop w:val="0"/>
      <w:marBottom w:val="0"/>
      <w:divBdr>
        <w:top w:val="none" w:sz="0" w:space="0" w:color="auto"/>
        <w:left w:val="none" w:sz="0" w:space="0" w:color="auto"/>
        <w:bottom w:val="none" w:sz="0" w:space="0" w:color="auto"/>
        <w:right w:val="none" w:sz="0" w:space="0" w:color="auto"/>
      </w:divBdr>
    </w:div>
    <w:div w:id="1335113576">
      <w:bodyDiv w:val="1"/>
      <w:marLeft w:val="0"/>
      <w:marRight w:val="0"/>
      <w:marTop w:val="0"/>
      <w:marBottom w:val="0"/>
      <w:divBdr>
        <w:top w:val="none" w:sz="0" w:space="0" w:color="auto"/>
        <w:left w:val="none" w:sz="0" w:space="0" w:color="auto"/>
        <w:bottom w:val="none" w:sz="0" w:space="0" w:color="auto"/>
        <w:right w:val="none" w:sz="0" w:space="0" w:color="auto"/>
      </w:divBdr>
    </w:div>
    <w:div w:id="1356422612">
      <w:bodyDiv w:val="1"/>
      <w:marLeft w:val="0"/>
      <w:marRight w:val="0"/>
      <w:marTop w:val="0"/>
      <w:marBottom w:val="0"/>
      <w:divBdr>
        <w:top w:val="none" w:sz="0" w:space="0" w:color="auto"/>
        <w:left w:val="none" w:sz="0" w:space="0" w:color="auto"/>
        <w:bottom w:val="none" w:sz="0" w:space="0" w:color="auto"/>
        <w:right w:val="none" w:sz="0" w:space="0" w:color="auto"/>
      </w:divBdr>
    </w:div>
    <w:div w:id="1375158039">
      <w:bodyDiv w:val="1"/>
      <w:marLeft w:val="0"/>
      <w:marRight w:val="0"/>
      <w:marTop w:val="0"/>
      <w:marBottom w:val="0"/>
      <w:divBdr>
        <w:top w:val="none" w:sz="0" w:space="0" w:color="auto"/>
        <w:left w:val="none" w:sz="0" w:space="0" w:color="auto"/>
        <w:bottom w:val="none" w:sz="0" w:space="0" w:color="auto"/>
        <w:right w:val="none" w:sz="0" w:space="0" w:color="auto"/>
      </w:divBdr>
    </w:div>
    <w:div w:id="1375273041">
      <w:bodyDiv w:val="1"/>
      <w:marLeft w:val="0"/>
      <w:marRight w:val="0"/>
      <w:marTop w:val="0"/>
      <w:marBottom w:val="0"/>
      <w:divBdr>
        <w:top w:val="none" w:sz="0" w:space="0" w:color="auto"/>
        <w:left w:val="none" w:sz="0" w:space="0" w:color="auto"/>
        <w:bottom w:val="none" w:sz="0" w:space="0" w:color="auto"/>
        <w:right w:val="none" w:sz="0" w:space="0" w:color="auto"/>
      </w:divBdr>
    </w:div>
    <w:div w:id="1414544351">
      <w:bodyDiv w:val="1"/>
      <w:marLeft w:val="0"/>
      <w:marRight w:val="0"/>
      <w:marTop w:val="0"/>
      <w:marBottom w:val="0"/>
      <w:divBdr>
        <w:top w:val="none" w:sz="0" w:space="0" w:color="auto"/>
        <w:left w:val="none" w:sz="0" w:space="0" w:color="auto"/>
        <w:bottom w:val="none" w:sz="0" w:space="0" w:color="auto"/>
        <w:right w:val="none" w:sz="0" w:space="0" w:color="auto"/>
      </w:divBdr>
    </w:div>
    <w:div w:id="1457681318">
      <w:bodyDiv w:val="1"/>
      <w:marLeft w:val="0"/>
      <w:marRight w:val="0"/>
      <w:marTop w:val="0"/>
      <w:marBottom w:val="0"/>
      <w:divBdr>
        <w:top w:val="none" w:sz="0" w:space="0" w:color="auto"/>
        <w:left w:val="none" w:sz="0" w:space="0" w:color="auto"/>
        <w:bottom w:val="none" w:sz="0" w:space="0" w:color="auto"/>
        <w:right w:val="none" w:sz="0" w:space="0" w:color="auto"/>
      </w:divBdr>
      <w:divsChild>
        <w:div w:id="1536575832">
          <w:marLeft w:val="0"/>
          <w:marRight w:val="0"/>
          <w:marTop w:val="0"/>
          <w:marBottom w:val="0"/>
          <w:divBdr>
            <w:top w:val="none" w:sz="0" w:space="0" w:color="auto"/>
            <w:left w:val="none" w:sz="0" w:space="0" w:color="auto"/>
            <w:bottom w:val="none" w:sz="0" w:space="0" w:color="auto"/>
            <w:right w:val="none" w:sz="0" w:space="0" w:color="auto"/>
          </w:divBdr>
        </w:div>
      </w:divsChild>
    </w:div>
    <w:div w:id="1573349304">
      <w:bodyDiv w:val="1"/>
      <w:marLeft w:val="0"/>
      <w:marRight w:val="0"/>
      <w:marTop w:val="0"/>
      <w:marBottom w:val="0"/>
      <w:divBdr>
        <w:top w:val="none" w:sz="0" w:space="0" w:color="auto"/>
        <w:left w:val="none" w:sz="0" w:space="0" w:color="auto"/>
        <w:bottom w:val="none" w:sz="0" w:space="0" w:color="auto"/>
        <w:right w:val="none" w:sz="0" w:space="0" w:color="auto"/>
      </w:divBdr>
    </w:div>
    <w:div w:id="1721398158">
      <w:bodyDiv w:val="1"/>
      <w:marLeft w:val="0"/>
      <w:marRight w:val="0"/>
      <w:marTop w:val="0"/>
      <w:marBottom w:val="0"/>
      <w:divBdr>
        <w:top w:val="none" w:sz="0" w:space="0" w:color="auto"/>
        <w:left w:val="none" w:sz="0" w:space="0" w:color="auto"/>
        <w:bottom w:val="none" w:sz="0" w:space="0" w:color="auto"/>
        <w:right w:val="none" w:sz="0" w:space="0" w:color="auto"/>
      </w:divBdr>
    </w:div>
    <w:div w:id="1734967163">
      <w:bodyDiv w:val="1"/>
      <w:marLeft w:val="0"/>
      <w:marRight w:val="0"/>
      <w:marTop w:val="0"/>
      <w:marBottom w:val="0"/>
      <w:divBdr>
        <w:top w:val="none" w:sz="0" w:space="0" w:color="auto"/>
        <w:left w:val="none" w:sz="0" w:space="0" w:color="auto"/>
        <w:bottom w:val="none" w:sz="0" w:space="0" w:color="auto"/>
        <w:right w:val="none" w:sz="0" w:space="0" w:color="auto"/>
      </w:divBdr>
    </w:div>
    <w:div w:id="1831019387">
      <w:bodyDiv w:val="1"/>
      <w:marLeft w:val="0"/>
      <w:marRight w:val="0"/>
      <w:marTop w:val="0"/>
      <w:marBottom w:val="0"/>
      <w:divBdr>
        <w:top w:val="none" w:sz="0" w:space="0" w:color="auto"/>
        <w:left w:val="none" w:sz="0" w:space="0" w:color="auto"/>
        <w:bottom w:val="none" w:sz="0" w:space="0" w:color="auto"/>
        <w:right w:val="none" w:sz="0" w:space="0" w:color="auto"/>
      </w:divBdr>
    </w:div>
    <w:div w:id="1885869999">
      <w:bodyDiv w:val="1"/>
      <w:marLeft w:val="0"/>
      <w:marRight w:val="0"/>
      <w:marTop w:val="0"/>
      <w:marBottom w:val="0"/>
      <w:divBdr>
        <w:top w:val="none" w:sz="0" w:space="0" w:color="auto"/>
        <w:left w:val="none" w:sz="0" w:space="0" w:color="auto"/>
        <w:bottom w:val="none" w:sz="0" w:space="0" w:color="auto"/>
        <w:right w:val="none" w:sz="0" w:space="0" w:color="auto"/>
      </w:divBdr>
    </w:div>
    <w:div w:id="1897470266">
      <w:bodyDiv w:val="1"/>
      <w:marLeft w:val="0"/>
      <w:marRight w:val="0"/>
      <w:marTop w:val="0"/>
      <w:marBottom w:val="0"/>
      <w:divBdr>
        <w:top w:val="none" w:sz="0" w:space="0" w:color="auto"/>
        <w:left w:val="none" w:sz="0" w:space="0" w:color="auto"/>
        <w:bottom w:val="none" w:sz="0" w:space="0" w:color="auto"/>
        <w:right w:val="none" w:sz="0" w:space="0" w:color="auto"/>
      </w:divBdr>
    </w:div>
    <w:div w:id="1933658992">
      <w:bodyDiv w:val="1"/>
      <w:marLeft w:val="0"/>
      <w:marRight w:val="0"/>
      <w:marTop w:val="0"/>
      <w:marBottom w:val="0"/>
      <w:divBdr>
        <w:top w:val="none" w:sz="0" w:space="0" w:color="auto"/>
        <w:left w:val="none" w:sz="0" w:space="0" w:color="auto"/>
        <w:bottom w:val="none" w:sz="0" w:space="0" w:color="auto"/>
        <w:right w:val="none" w:sz="0" w:space="0" w:color="auto"/>
      </w:divBdr>
    </w:div>
    <w:div w:id="1966616575">
      <w:bodyDiv w:val="1"/>
      <w:marLeft w:val="0"/>
      <w:marRight w:val="0"/>
      <w:marTop w:val="0"/>
      <w:marBottom w:val="0"/>
      <w:divBdr>
        <w:top w:val="none" w:sz="0" w:space="0" w:color="auto"/>
        <w:left w:val="none" w:sz="0" w:space="0" w:color="auto"/>
        <w:bottom w:val="none" w:sz="0" w:space="0" w:color="auto"/>
        <w:right w:val="none" w:sz="0" w:space="0" w:color="auto"/>
      </w:divBdr>
    </w:div>
    <w:div w:id="1987005593">
      <w:bodyDiv w:val="1"/>
      <w:marLeft w:val="0"/>
      <w:marRight w:val="0"/>
      <w:marTop w:val="0"/>
      <w:marBottom w:val="0"/>
      <w:divBdr>
        <w:top w:val="none" w:sz="0" w:space="0" w:color="auto"/>
        <w:left w:val="none" w:sz="0" w:space="0" w:color="auto"/>
        <w:bottom w:val="none" w:sz="0" w:space="0" w:color="auto"/>
        <w:right w:val="none" w:sz="0" w:space="0" w:color="auto"/>
      </w:divBdr>
    </w:div>
    <w:div w:id="2008288883">
      <w:bodyDiv w:val="1"/>
      <w:marLeft w:val="0"/>
      <w:marRight w:val="0"/>
      <w:marTop w:val="0"/>
      <w:marBottom w:val="0"/>
      <w:divBdr>
        <w:top w:val="none" w:sz="0" w:space="0" w:color="auto"/>
        <w:left w:val="none" w:sz="0" w:space="0" w:color="auto"/>
        <w:bottom w:val="none" w:sz="0" w:space="0" w:color="auto"/>
        <w:right w:val="none" w:sz="0" w:space="0" w:color="auto"/>
      </w:divBdr>
    </w:div>
    <w:div w:id="2068337854">
      <w:bodyDiv w:val="1"/>
      <w:marLeft w:val="0"/>
      <w:marRight w:val="0"/>
      <w:marTop w:val="0"/>
      <w:marBottom w:val="0"/>
      <w:divBdr>
        <w:top w:val="none" w:sz="0" w:space="0" w:color="auto"/>
        <w:left w:val="none" w:sz="0" w:space="0" w:color="auto"/>
        <w:bottom w:val="none" w:sz="0" w:space="0" w:color="auto"/>
        <w:right w:val="none" w:sz="0" w:space="0" w:color="auto"/>
      </w:divBdr>
    </w:div>
    <w:div w:id="2085640394">
      <w:bodyDiv w:val="1"/>
      <w:marLeft w:val="0"/>
      <w:marRight w:val="0"/>
      <w:marTop w:val="0"/>
      <w:marBottom w:val="0"/>
      <w:divBdr>
        <w:top w:val="none" w:sz="0" w:space="0" w:color="auto"/>
        <w:left w:val="none" w:sz="0" w:space="0" w:color="auto"/>
        <w:bottom w:val="none" w:sz="0" w:space="0" w:color="auto"/>
        <w:right w:val="none" w:sz="0" w:space="0" w:color="auto"/>
      </w:divBdr>
    </w:div>
    <w:div w:id="2104908375">
      <w:bodyDiv w:val="1"/>
      <w:marLeft w:val="0"/>
      <w:marRight w:val="0"/>
      <w:marTop w:val="0"/>
      <w:marBottom w:val="0"/>
      <w:divBdr>
        <w:top w:val="none" w:sz="0" w:space="0" w:color="auto"/>
        <w:left w:val="none" w:sz="0" w:space="0" w:color="auto"/>
        <w:bottom w:val="none" w:sz="0" w:space="0" w:color="auto"/>
        <w:right w:val="none" w:sz="0" w:space="0" w:color="auto"/>
      </w:divBdr>
    </w:div>
    <w:div w:id="2127582968">
      <w:bodyDiv w:val="1"/>
      <w:marLeft w:val="0"/>
      <w:marRight w:val="0"/>
      <w:marTop w:val="0"/>
      <w:marBottom w:val="0"/>
      <w:divBdr>
        <w:top w:val="none" w:sz="0" w:space="0" w:color="auto"/>
        <w:left w:val="none" w:sz="0" w:space="0" w:color="auto"/>
        <w:bottom w:val="none" w:sz="0" w:space="0" w:color="auto"/>
        <w:right w:val="none" w:sz="0" w:space="0" w:color="auto"/>
      </w:divBdr>
    </w:div>
    <w:div w:id="21318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9016-27C9-4092-AADC-A5B722DC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4001</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slazic</dc:creator>
  <cp:lastModifiedBy>sfilipovic</cp:lastModifiedBy>
  <cp:revision>11</cp:revision>
  <cp:lastPrinted>2017-07-21T06:19:00Z</cp:lastPrinted>
  <dcterms:created xsi:type="dcterms:W3CDTF">2017-07-21T05:52:00Z</dcterms:created>
  <dcterms:modified xsi:type="dcterms:W3CDTF">2017-08-10T08:28:00Z</dcterms:modified>
</cp:coreProperties>
</file>